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8495" w14:textId="473DCC72" w:rsidR="001D5D8D" w:rsidRPr="00531020" w:rsidRDefault="0039346B" w:rsidP="00C6577C">
      <w:pPr>
        <w:pStyle w:val="Title"/>
        <w:jc w:val="center"/>
        <w:rPr>
          <w:b/>
          <w:bCs/>
          <w:sz w:val="48"/>
          <w:szCs w:val="48"/>
          <w:lang w:val="en"/>
        </w:rPr>
      </w:pPr>
      <w:r w:rsidRPr="00531020">
        <w:rPr>
          <w:b/>
          <w:bCs/>
          <w:sz w:val="48"/>
          <w:szCs w:val="48"/>
          <w:lang w:val="en"/>
        </w:rPr>
        <w:t xml:space="preserve">IRB-HSR </w:t>
      </w:r>
      <w:r w:rsidR="00905817" w:rsidRPr="00531020">
        <w:rPr>
          <w:b/>
          <w:bCs/>
          <w:sz w:val="48"/>
          <w:szCs w:val="48"/>
          <w:lang w:val="en"/>
        </w:rPr>
        <w:t>UPDATE</w:t>
      </w:r>
    </w:p>
    <w:p w14:paraId="28D91751" w14:textId="2A973613" w:rsidR="00531020" w:rsidRPr="00531020" w:rsidRDefault="00531020" w:rsidP="00531020">
      <w:pPr>
        <w:jc w:val="center"/>
        <w:rPr>
          <w:color w:val="FF0000"/>
          <w:sz w:val="32"/>
          <w:szCs w:val="32"/>
          <w:lang w:val="en"/>
        </w:rPr>
      </w:pPr>
      <w:r w:rsidRPr="00531020">
        <w:rPr>
          <w:color w:val="FF0000"/>
          <w:sz w:val="32"/>
          <w:szCs w:val="32"/>
          <w:lang w:val="en"/>
        </w:rPr>
        <w:t>January 2023</w:t>
      </w:r>
    </w:p>
    <w:p w14:paraId="1C31F280" w14:textId="559E6B10" w:rsidR="00B145B4" w:rsidRPr="009C1DA9" w:rsidRDefault="00DC7970" w:rsidP="00DC7970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Electronic Informed Consent</w:t>
      </w:r>
      <w:r w:rsidR="00905817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 xml:space="preserve"> (E-Consent)</w:t>
      </w:r>
    </w:p>
    <w:p w14:paraId="154E5E11" w14:textId="1C85F62E" w:rsidR="00457CA7" w:rsidRDefault="001D5D8D" w:rsidP="00457CA7">
      <w:pPr>
        <w:spacing w:before="100" w:beforeAutospacing="1" w:after="100" w:afterAutospacing="1" w:line="240" w:lineRule="auto"/>
        <w:rPr>
          <w:rStyle w:val="markedcontent"/>
          <w:sz w:val="24"/>
          <w:szCs w:val="24"/>
        </w:rPr>
      </w:pPr>
      <w:r w:rsidRPr="009C1DA9">
        <w:rPr>
          <w:rFonts w:eastAsia="Times New Roman" w:cstheme="minorHAnsi"/>
          <w:b/>
          <w:bCs/>
          <w:sz w:val="24"/>
          <w:szCs w:val="24"/>
        </w:rPr>
        <w:t xml:space="preserve">Effective </w:t>
      </w:r>
      <w:r w:rsidR="00457CA7">
        <w:rPr>
          <w:rFonts w:eastAsia="Times New Roman" w:cstheme="minorHAnsi"/>
          <w:b/>
          <w:bCs/>
          <w:sz w:val="24"/>
          <w:szCs w:val="24"/>
        </w:rPr>
        <w:t>December 9</w:t>
      </w:r>
      <w:r w:rsidRPr="009C1DA9">
        <w:rPr>
          <w:rFonts w:eastAsia="Times New Roman" w:cstheme="minorHAnsi"/>
          <w:b/>
          <w:bCs/>
          <w:sz w:val="24"/>
          <w:szCs w:val="24"/>
        </w:rPr>
        <w:t>, 202</w:t>
      </w:r>
      <w:r w:rsidR="00457CA7">
        <w:rPr>
          <w:rFonts w:eastAsia="Times New Roman" w:cstheme="minorHAnsi"/>
          <w:b/>
          <w:bCs/>
          <w:sz w:val="24"/>
          <w:szCs w:val="24"/>
        </w:rPr>
        <w:t>2</w:t>
      </w:r>
      <w:r w:rsidRPr="001D5D8D">
        <w:rPr>
          <w:rFonts w:eastAsia="Times New Roman" w:cstheme="minorHAnsi"/>
          <w:sz w:val="24"/>
          <w:szCs w:val="24"/>
        </w:rPr>
        <w:t xml:space="preserve">, the IRB HSR </w:t>
      </w:r>
      <w:r w:rsidR="00C6577C">
        <w:rPr>
          <w:rFonts w:eastAsia="Times New Roman" w:cstheme="minorHAnsi"/>
          <w:sz w:val="24"/>
          <w:szCs w:val="24"/>
        </w:rPr>
        <w:t xml:space="preserve">updated the </w:t>
      </w:r>
      <w:r w:rsidR="002B21DD">
        <w:rPr>
          <w:rFonts w:eastAsia="Times New Roman" w:cstheme="minorHAnsi"/>
          <w:sz w:val="24"/>
          <w:szCs w:val="24"/>
        </w:rPr>
        <w:t xml:space="preserve">IRB application </w:t>
      </w:r>
      <w:r w:rsidR="00531020">
        <w:rPr>
          <w:rFonts w:eastAsia="Times New Roman" w:cstheme="minorHAnsi"/>
          <w:sz w:val="24"/>
          <w:szCs w:val="24"/>
        </w:rPr>
        <w:t xml:space="preserve">and website </w:t>
      </w:r>
      <w:r w:rsidR="00C6577C">
        <w:rPr>
          <w:rFonts w:eastAsia="Times New Roman" w:cstheme="minorHAnsi"/>
          <w:sz w:val="24"/>
          <w:szCs w:val="24"/>
        </w:rPr>
        <w:t xml:space="preserve">surrounding </w:t>
      </w:r>
      <w:r w:rsidR="00531020">
        <w:rPr>
          <w:rFonts w:eastAsia="Times New Roman" w:cstheme="minorHAnsi"/>
          <w:sz w:val="24"/>
          <w:szCs w:val="24"/>
        </w:rPr>
        <w:t xml:space="preserve">electronic </w:t>
      </w:r>
      <w:r w:rsidR="00457CA7">
        <w:rPr>
          <w:rFonts w:eastAsia="Times New Roman" w:cstheme="minorHAnsi"/>
          <w:sz w:val="24"/>
          <w:szCs w:val="24"/>
        </w:rPr>
        <w:t>consenting.</w:t>
      </w:r>
      <w:r w:rsidR="002B21DD">
        <w:rPr>
          <w:rFonts w:eastAsia="Times New Roman" w:cstheme="minorHAnsi"/>
          <w:sz w:val="24"/>
          <w:szCs w:val="24"/>
        </w:rPr>
        <w:t xml:space="preserve"> </w:t>
      </w:r>
      <w:r w:rsidR="00457CA7">
        <w:rPr>
          <w:rStyle w:val="markedcontent"/>
          <w:sz w:val="24"/>
          <w:szCs w:val="24"/>
        </w:rPr>
        <w:t>E</w:t>
      </w:r>
      <w:r w:rsidR="00457CA7" w:rsidRPr="00DC7970">
        <w:rPr>
          <w:rStyle w:val="markedcontent"/>
          <w:sz w:val="24"/>
          <w:szCs w:val="24"/>
        </w:rPr>
        <w:t xml:space="preserve">lectronic informed consent refers to the </w:t>
      </w:r>
      <w:r w:rsidR="00457CA7" w:rsidRPr="00457CA7">
        <w:rPr>
          <w:rStyle w:val="markedcontent"/>
          <w:sz w:val="24"/>
          <w:szCs w:val="24"/>
          <w:u w:val="single"/>
        </w:rPr>
        <w:t>use of electronic</w:t>
      </w:r>
      <w:r w:rsidR="00457CA7" w:rsidRPr="00457CA7">
        <w:rPr>
          <w:sz w:val="24"/>
          <w:szCs w:val="24"/>
          <w:u w:val="single"/>
        </w:rPr>
        <w:t xml:space="preserve"> </w:t>
      </w:r>
      <w:r w:rsidR="00457CA7" w:rsidRPr="00457CA7">
        <w:rPr>
          <w:rStyle w:val="markedcontent"/>
          <w:sz w:val="24"/>
          <w:szCs w:val="24"/>
          <w:u w:val="single"/>
        </w:rPr>
        <w:t xml:space="preserve">systems </w:t>
      </w:r>
      <w:r w:rsidR="00457CA7" w:rsidRPr="00DC7970">
        <w:rPr>
          <w:rStyle w:val="markedcontent"/>
          <w:sz w:val="24"/>
          <w:szCs w:val="24"/>
        </w:rPr>
        <w:t>and processes that may employ multiple electronic media, including text, graphics,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audio, video, podcasts, passive and interactive Web sites, biological recognition devices, and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card readers, to convey information related to the study and to obtain and document informed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consent.</w:t>
      </w:r>
      <w:r w:rsidR="00457CA7">
        <w:rPr>
          <w:sz w:val="24"/>
          <w:szCs w:val="24"/>
        </w:rPr>
        <w:t xml:space="preserve"> </w:t>
      </w:r>
      <w:r w:rsidR="00457CA7">
        <w:rPr>
          <w:rStyle w:val="markedcontent"/>
          <w:sz w:val="24"/>
          <w:szCs w:val="24"/>
        </w:rPr>
        <w:t>W</w:t>
      </w:r>
      <w:r w:rsidR="00457CA7" w:rsidRPr="00DC7970">
        <w:rPr>
          <w:rStyle w:val="markedcontent"/>
          <w:sz w:val="24"/>
          <w:szCs w:val="24"/>
        </w:rPr>
        <w:t xml:space="preserve">hen implementing an </w:t>
      </w:r>
      <w:r w:rsidR="00457CA7">
        <w:rPr>
          <w:rStyle w:val="markedcontent"/>
          <w:sz w:val="24"/>
          <w:szCs w:val="24"/>
        </w:rPr>
        <w:t>electronic informed consent</w:t>
      </w:r>
      <w:r w:rsidR="00457CA7" w:rsidRPr="00DC7970">
        <w:rPr>
          <w:rStyle w:val="markedcontent"/>
          <w:sz w:val="24"/>
          <w:szCs w:val="24"/>
        </w:rPr>
        <w:t>, a variety of approaches may be used to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fulfill HHS and FDA regulatory requirements for informed consent and IRB review (45 CFR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part 46 and 21 CFR parts 50 and 56) and FDA regulations for electronic records and electronic</w:t>
      </w:r>
      <w:r w:rsidR="00457CA7">
        <w:rPr>
          <w:sz w:val="24"/>
          <w:szCs w:val="24"/>
        </w:rPr>
        <w:t xml:space="preserve"> </w:t>
      </w:r>
      <w:r w:rsidR="00457CA7" w:rsidRPr="00DC7970">
        <w:rPr>
          <w:rStyle w:val="markedcontent"/>
          <w:sz w:val="24"/>
          <w:szCs w:val="24"/>
        </w:rPr>
        <w:t>signatures (21 CFR part 11).</w:t>
      </w:r>
    </w:p>
    <w:p w14:paraId="2186C959" w14:textId="5B48919E" w:rsidR="00F240AD" w:rsidRDefault="00457CA7" w:rsidP="00457CA7">
      <w:pPr>
        <w:spacing w:before="100" w:beforeAutospacing="1" w:after="100" w:afterAutospacing="1" w:line="240" w:lineRule="auto"/>
        <w:rPr>
          <w:rStyle w:val="Hyperlink"/>
        </w:rPr>
      </w:pPr>
      <w:r w:rsidRPr="00DC7970">
        <w:rPr>
          <w:rStyle w:val="markedcontent"/>
        </w:rPr>
        <w:t xml:space="preserve">The IRB encourages study teams to review the </w:t>
      </w:r>
      <w:hyperlink r:id="rId7" w:history="1">
        <w:r w:rsidRPr="00DC7970">
          <w:rPr>
            <w:rStyle w:val="Hyperlink"/>
          </w:rPr>
          <w:t>Use of Electronic Informed Consent Questions and Answers Guidance for Institutional Review Boards, Investigators, and Sponsors</w:t>
        </w:r>
      </w:hyperlink>
    </w:p>
    <w:p w14:paraId="2791B106" w14:textId="0183F0C1" w:rsidR="00B40FBA" w:rsidRPr="00B40FBA" w:rsidRDefault="00B40FBA" w:rsidP="00457CA7">
      <w:pPr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B40FBA">
        <w:rPr>
          <w:rStyle w:val="Hyperlink"/>
          <w:b/>
          <w:bCs/>
          <w:color w:val="auto"/>
          <w:u w:val="none"/>
        </w:rPr>
        <w:t>IRB HSR Website</w:t>
      </w:r>
      <w:r w:rsidRPr="00B40FBA">
        <w:rPr>
          <w:rStyle w:val="Hyperlink"/>
          <w:color w:val="auto"/>
          <w:u w:val="none"/>
        </w:rPr>
        <w:t xml:space="preserve">: </w:t>
      </w:r>
      <w:hyperlink r:id="rId8" w:history="1">
        <w:r w:rsidRPr="00B40FBA">
          <w:rPr>
            <w:rStyle w:val="Hyperlink"/>
          </w:rPr>
          <w:t>Use of Electronic Informed Consent</w:t>
        </w:r>
      </w:hyperlink>
    </w:p>
    <w:p w14:paraId="109F508A" w14:textId="164B003C" w:rsidR="00BF4565" w:rsidRDefault="00BF4565" w:rsidP="00457CA7">
      <w:pPr>
        <w:spacing w:before="100" w:beforeAutospacing="1" w:after="100" w:afterAutospacing="1" w:line="240" w:lineRule="auto"/>
      </w:pPr>
      <w:r w:rsidRPr="00C24E7B">
        <w:rPr>
          <w:rFonts w:eastAsia="Times New Roman" w:cstheme="minorHAnsi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E467553" wp14:editId="7FC280AD">
            <wp:simplePos x="0" y="0"/>
            <wp:positionH relativeFrom="column">
              <wp:posOffset>4717994</wp:posOffset>
            </wp:positionH>
            <wp:positionV relativeFrom="paragraph">
              <wp:posOffset>45886</wp:posOffset>
            </wp:positionV>
            <wp:extent cx="1796994" cy="2552872"/>
            <wp:effectExtent l="0" t="0" r="0" b="0"/>
            <wp:wrapNone/>
            <wp:docPr id="17" name="Picture 3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EC1F14-7C2D-7240-A8E9-BD58DD98BD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4CEC1F14-7C2D-7240-A8E9-BD58DD98BD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94" cy="2552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E7B">
        <w:rPr>
          <w:u w:val="single"/>
        </w:rPr>
        <w:t>The consenting process should include:</w:t>
      </w:r>
      <w:r w:rsidRPr="00BF4565">
        <w:t xml:space="preserve">  </w:t>
      </w:r>
      <w:r w:rsidRPr="00BF4565">
        <w:br/>
        <w:t>• platform used: how the consent form is presented/reviewed</w:t>
      </w:r>
      <w:r w:rsidRPr="00BF4565">
        <w:br/>
        <w:t>• how signatures of the subject and/or LAR will be obtained,</w:t>
      </w:r>
      <w:r w:rsidRPr="00BF4565">
        <w:br/>
        <w:t>• how the study team is verifying identity</w:t>
      </w:r>
      <w:r w:rsidRPr="00BF4565">
        <w:br/>
        <w:t>• how are copies provided to subjects</w:t>
      </w:r>
    </w:p>
    <w:p w14:paraId="5BA4593B" w14:textId="1B587335" w:rsidR="00BF4565" w:rsidRPr="00BF4565" w:rsidRDefault="00BF4565" w:rsidP="00B40FBA">
      <w:pPr>
        <w:spacing w:after="0" w:line="240" w:lineRule="auto"/>
        <w:rPr>
          <w:b/>
          <w:bCs/>
        </w:rPr>
      </w:pPr>
      <w:r w:rsidRPr="00BF4565">
        <w:rPr>
          <w:b/>
          <w:bCs/>
        </w:rPr>
        <w:t>IN PERSON E CONSENT:</w:t>
      </w:r>
    </w:p>
    <w:p w14:paraId="0E8A5988" w14:textId="77777777" w:rsidR="00BF4565" w:rsidRPr="00BF4565" w:rsidRDefault="00BF4565" w:rsidP="00B40FBA">
      <w:pPr>
        <w:numPr>
          <w:ilvl w:val="0"/>
          <w:numId w:val="34"/>
        </w:numPr>
        <w:spacing w:after="0" w:line="240" w:lineRule="auto"/>
      </w:pPr>
      <w:r w:rsidRPr="00BF4565">
        <w:t xml:space="preserve">Researcher and subject </w:t>
      </w:r>
      <w:r w:rsidRPr="00BF4565">
        <w:rPr>
          <w:u w:val="single"/>
        </w:rPr>
        <w:t>are in the same physical location</w:t>
      </w:r>
    </w:p>
    <w:p w14:paraId="6C9977E4" w14:textId="77777777" w:rsidR="00BF4565" w:rsidRPr="00BF4565" w:rsidRDefault="00BF4565" w:rsidP="00B40FBA">
      <w:pPr>
        <w:numPr>
          <w:ilvl w:val="0"/>
          <w:numId w:val="34"/>
        </w:numPr>
        <w:spacing w:after="0" w:line="240" w:lineRule="auto"/>
      </w:pPr>
      <w:r w:rsidRPr="00BF4565">
        <w:t xml:space="preserve">Consent discussion occurs in person </w:t>
      </w:r>
    </w:p>
    <w:p w14:paraId="3FBA3BF1" w14:textId="4A3A7450" w:rsidR="00BF4565" w:rsidRDefault="00BF4565" w:rsidP="00B40FBA">
      <w:pPr>
        <w:numPr>
          <w:ilvl w:val="0"/>
          <w:numId w:val="34"/>
        </w:numPr>
        <w:spacing w:after="0" w:line="240" w:lineRule="auto"/>
      </w:pPr>
      <w:r w:rsidRPr="00BF4565">
        <w:t>Signature is obtained electronically</w:t>
      </w:r>
    </w:p>
    <w:p w14:paraId="3F8D01F2" w14:textId="7ED2E432" w:rsidR="00BF4565" w:rsidRPr="00BF4565" w:rsidRDefault="00BF4565" w:rsidP="00B40FBA">
      <w:pPr>
        <w:numPr>
          <w:ilvl w:val="0"/>
          <w:numId w:val="34"/>
        </w:numPr>
        <w:spacing w:after="0" w:line="240" w:lineRule="auto"/>
      </w:pPr>
      <w:r w:rsidRPr="00BF4565">
        <w:t>Platform: REDCap, DocuSign</w:t>
      </w:r>
    </w:p>
    <w:p w14:paraId="1BD01D45" w14:textId="279A0783" w:rsidR="00BF4565" w:rsidRPr="00BF4565" w:rsidRDefault="00BF4565" w:rsidP="00457CA7">
      <w:pPr>
        <w:spacing w:before="100" w:beforeAutospacing="1" w:after="100" w:afterAutospacing="1" w:line="240" w:lineRule="auto"/>
        <w:rPr>
          <w:b/>
          <w:bCs/>
        </w:rPr>
      </w:pPr>
      <w:r w:rsidRPr="00BF4565">
        <w:rPr>
          <w:b/>
          <w:bCs/>
        </w:rPr>
        <w:t>REMOTE E-Consent</w:t>
      </w:r>
    </w:p>
    <w:p w14:paraId="2EB87382" w14:textId="77777777" w:rsidR="00BF4565" w:rsidRPr="00BF4565" w:rsidRDefault="00BF4565" w:rsidP="00BF4565">
      <w:pPr>
        <w:numPr>
          <w:ilvl w:val="0"/>
          <w:numId w:val="35"/>
        </w:numPr>
        <w:spacing w:before="100" w:beforeAutospacing="1" w:after="100" w:afterAutospacing="1" w:line="240" w:lineRule="auto"/>
      </w:pPr>
      <w:r w:rsidRPr="00BF4565">
        <w:t xml:space="preserve">Researcher and subject are </w:t>
      </w:r>
      <w:r w:rsidRPr="00B40FBA">
        <w:rPr>
          <w:u w:val="single"/>
        </w:rPr>
        <w:t>NOT in the same location</w:t>
      </w:r>
    </w:p>
    <w:p w14:paraId="75340309" w14:textId="77777777" w:rsidR="00BF4565" w:rsidRPr="00BF4565" w:rsidRDefault="00BF4565" w:rsidP="00BF4565">
      <w:pPr>
        <w:numPr>
          <w:ilvl w:val="0"/>
          <w:numId w:val="35"/>
        </w:numPr>
        <w:spacing w:before="100" w:beforeAutospacing="1" w:after="100" w:afterAutospacing="1" w:line="240" w:lineRule="auto"/>
      </w:pPr>
      <w:r w:rsidRPr="00BF4565">
        <w:t xml:space="preserve">Consent discussion is conducted via video teleconference </w:t>
      </w:r>
    </w:p>
    <w:p w14:paraId="6765750A" w14:textId="0C74A156" w:rsidR="00BF4565" w:rsidRPr="00BF4565" w:rsidRDefault="00BF4565" w:rsidP="00BF4565">
      <w:pPr>
        <w:numPr>
          <w:ilvl w:val="0"/>
          <w:numId w:val="35"/>
        </w:numPr>
        <w:spacing w:before="100" w:beforeAutospacing="1" w:after="100" w:afterAutospacing="1" w:line="240" w:lineRule="auto"/>
      </w:pPr>
      <w:r w:rsidRPr="00BF4565">
        <w:t>Verify identification of the subject</w:t>
      </w:r>
    </w:p>
    <w:p w14:paraId="3A47FBBE" w14:textId="77777777" w:rsidR="00BF4565" w:rsidRPr="00BF4565" w:rsidRDefault="00BF4565" w:rsidP="00BF4565">
      <w:pPr>
        <w:numPr>
          <w:ilvl w:val="0"/>
          <w:numId w:val="35"/>
        </w:numPr>
        <w:spacing w:before="100" w:beforeAutospacing="1" w:after="100" w:afterAutospacing="1" w:line="240" w:lineRule="auto"/>
      </w:pPr>
      <w:r w:rsidRPr="00BF4565">
        <w:t>Signature is obtained electronically</w:t>
      </w:r>
    </w:p>
    <w:p w14:paraId="76916C35" w14:textId="7B89504D" w:rsidR="00BF4565" w:rsidRDefault="00BF4565" w:rsidP="00BF4565">
      <w:pPr>
        <w:numPr>
          <w:ilvl w:val="0"/>
          <w:numId w:val="35"/>
        </w:numPr>
        <w:spacing w:before="100" w:beforeAutospacing="1" w:after="100" w:afterAutospacing="1" w:line="240" w:lineRule="auto"/>
      </w:pPr>
      <w:r w:rsidRPr="00BF4565">
        <w:t>Platform: REDCap, DocuSign</w:t>
      </w:r>
    </w:p>
    <w:p w14:paraId="5DDAA56A" w14:textId="67C65191" w:rsidR="00BF4565" w:rsidRPr="00BF4565" w:rsidRDefault="00BF4565" w:rsidP="00BF4565">
      <w:pPr>
        <w:spacing w:before="100" w:beforeAutospacing="1" w:after="100" w:afterAutospacing="1" w:line="240" w:lineRule="auto"/>
      </w:pPr>
      <w:r>
        <w:t xml:space="preserve">Please review the </w:t>
      </w:r>
      <w:hyperlink r:id="rId10" w:history="1">
        <w:r w:rsidRPr="00BF4565">
          <w:rPr>
            <w:rStyle w:val="Hyperlink"/>
          </w:rPr>
          <w:t>IRB Learning Shot: Electronic Informed Consent</w:t>
        </w:r>
      </w:hyperlink>
    </w:p>
    <w:p w14:paraId="09DA6A07" w14:textId="77777777" w:rsidR="00C24E7B" w:rsidRPr="00C24E7B" w:rsidRDefault="00C24E7B" w:rsidP="00C24E7B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r w:rsidRPr="00C24E7B">
        <w:rPr>
          <w:sz w:val="20"/>
          <w:szCs w:val="20"/>
        </w:rPr>
        <w:t>Use of Electronic Informed Consent Questions and Answers: Guidance for IRBs,</w:t>
      </w:r>
      <w:r w:rsidRPr="00C24E7B">
        <w:rPr>
          <w:sz w:val="20"/>
          <w:szCs w:val="20"/>
        </w:rPr>
        <w:br/>
        <w:t>Investigators, and Sponsors, joint FDA/OHRP, Dec. 2016:</w:t>
      </w:r>
    </w:p>
    <w:p w14:paraId="3AA91CF0" w14:textId="77777777" w:rsidR="00C24E7B" w:rsidRDefault="00044AF5" w:rsidP="00C24E7B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</w:rPr>
      </w:pPr>
      <w:hyperlink r:id="rId11" w:history="1">
        <w:r w:rsidR="00C24E7B" w:rsidRPr="00C24E7B">
          <w:rPr>
            <w:rStyle w:val="Hyperlink"/>
            <w:sz w:val="20"/>
            <w:szCs w:val="20"/>
          </w:rPr>
          <w:t>https://www.fda.gov/media/116850/download</w:t>
        </w:r>
      </w:hyperlink>
      <w:r w:rsidR="00C24E7B" w:rsidRPr="00C24E7B">
        <w:rPr>
          <w:sz w:val="20"/>
          <w:szCs w:val="20"/>
        </w:rPr>
        <w:br/>
        <w:t>Use of Electronic Records and Electronic Signatures in Clinical Investigations Under 21</w:t>
      </w:r>
      <w:r w:rsidR="00C24E7B" w:rsidRPr="00C24E7B">
        <w:rPr>
          <w:sz w:val="20"/>
          <w:szCs w:val="20"/>
        </w:rPr>
        <w:br/>
        <w:t>CFR Part 11, Questions and Answers, Guidance for Industry (Draft), FDA, June 2017:</w:t>
      </w:r>
      <w:r w:rsidR="00C24E7B" w:rsidRPr="00C24E7B">
        <w:rPr>
          <w:sz w:val="20"/>
          <w:szCs w:val="20"/>
        </w:rPr>
        <w:br/>
      </w:r>
      <w:hyperlink r:id="rId12" w:history="1">
        <w:r w:rsidR="00C24E7B" w:rsidRPr="00C24E7B">
          <w:rPr>
            <w:rStyle w:val="Hyperlink"/>
            <w:sz w:val="20"/>
            <w:szCs w:val="20"/>
          </w:rPr>
          <w:t>https://www.fda.gov/media/105557/download</w:t>
        </w:r>
      </w:hyperlink>
    </w:p>
    <w:p w14:paraId="44A2163B" w14:textId="5A420C84" w:rsidR="00BF4565" w:rsidRPr="00531020" w:rsidRDefault="00C24E7B" w:rsidP="00C24E7B">
      <w:pPr>
        <w:pStyle w:val="ListParagraph"/>
        <w:numPr>
          <w:ilvl w:val="0"/>
          <w:numId w:val="36"/>
        </w:num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C24E7B">
        <w:rPr>
          <w:sz w:val="20"/>
          <w:szCs w:val="20"/>
        </w:rPr>
        <w:lastRenderedPageBreak/>
        <w:t>Guidance for Industry: Part 11, electronic Records; Electronic Signatures – Scope and</w:t>
      </w:r>
      <w:r w:rsidRPr="00C24E7B">
        <w:rPr>
          <w:sz w:val="20"/>
          <w:szCs w:val="20"/>
        </w:rPr>
        <w:br/>
        <w:t>Application, FDA, August 2003:</w:t>
      </w:r>
      <w:r w:rsidRPr="00C24E7B">
        <w:rPr>
          <w:sz w:val="20"/>
          <w:szCs w:val="20"/>
        </w:rPr>
        <w:br/>
      </w:r>
      <w:hyperlink r:id="rId13" w:history="1">
        <w:r w:rsidRPr="00C24E7B">
          <w:rPr>
            <w:rStyle w:val="Hyperlink"/>
            <w:sz w:val="20"/>
            <w:szCs w:val="20"/>
          </w:rPr>
          <w:t>https://www.fda.gov/media/75414/download</w:t>
        </w:r>
      </w:hyperlink>
    </w:p>
    <w:p w14:paraId="32E6FA92" w14:textId="77777777" w:rsidR="00531020" w:rsidRPr="00C24E7B" w:rsidRDefault="00531020" w:rsidP="00531020">
      <w:pPr>
        <w:pStyle w:val="ListParagraph"/>
        <w:spacing w:after="0" w:line="240" w:lineRule="auto"/>
        <w:rPr>
          <w:sz w:val="20"/>
          <w:szCs w:val="20"/>
        </w:rPr>
      </w:pPr>
    </w:p>
    <w:p w14:paraId="0C40FD3C" w14:textId="50A3FE2E" w:rsidR="00F240AD" w:rsidRPr="009C1DA9" w:rsidRDefault="00DC7970" w:rsidP="00DC7970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Cs/>
          <w:color w:val="0070C0"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 xml:space="preserve">UVA </w:t>
      </w:r>
      <w:r w:rsidR="0016453D"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Non-Human Subject Research Online Tool</w:t>
      </w:r>
    </w:p>
    <w:p w14:paraId="3B2CC73A" w14:textId="77777777" w:rsidR="00F240AD" w:rsidRDefault="00F240AD" w:rsidP="00F240AD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3BF1073C" w14:textId="6E6A34DF" w:rsidR="00457CA7" w:rsidRDefault="00644D6B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9C1DA9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Effective </w:t>
      </w:r>
      <w:r w:rsidR="0016453D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September 1,2022 the IRB launched the </w:t>
      </w:r>
      <w:hyperlink r:id="rId14" w:history="1">
        <w:r w:rsidR="0016453D" w:rsidRPr="0016453D">
          <w:rPr>
            <w:rStyle w:val="Hyperlink"/>
            <w:rFonts w:asciiTheme="minorHAnsi" w:hAnsiTheme="minorHAnsi" w:cstheme="minorHAnsi"/>
            <w:b/>
            <w:sz w:val="24"/>
            <w:szCs w:val="24"/>
            <w:lang w:val="en"/>
          </w:rPr>
          <w:t>Non-Human Subject Research online tool</w:t>
        </w:r>
      </w:hyperlink>
      <w:r w:rsidR="0016453D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.  </w:t>
      </w:r>
      <w:r w:rsidR="0016453D" w:rsidRPr="0016453D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This feature replaces the Determination of Human Subject Research Document.  </w:t>
      </w:r>
    </w:p>
    <w:p w14:paraId="279EEDA8" w14:textId="77777777" w:rsidR="00BF4565" w:rsidRDefault="00BF4565" w:rsidP="00CE2676">
      <w:pPr>
        <w:spacing w:after="0" w:line="240" w:lineRule="auto"/>
      </w:pPr>
    </w:p>
    <w:p w14:paraId="7B7B5222" w14:textId="298D2A5D" w:rsidR="00BF4565" w:rsidRDefault="00BF4565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t>The Project Leader is responsible for the accuracy and reliability of the information submitted through the</w:t>
      </w:r>
      <w:r>
        <w:rPr>
          <w:rStyle w:val="Strong"/>
        </w:rPr>
        <w:t xml:space="preserve"> UVA Non-Human Subject Research Online Tool</w:t>
      </w:r>
      <w:r>
        <w:t xml:space="preserve">, for following all applicable Federal, State, and local laws and/or regulations, and is also responsible for submitting research studies to the IRB-HSR when required. This is NOT an IRB determination.  Activities that meet the definition of </w:t>
      </w:r>
      <w:hyperlink r:id="rId15" w:tgtFrame="_blank" w:history="1">
        <w:r>
          <w:rPr>
            <w:rStyle w:val="Hyperlink"/>
          </w:rPr>
          <w:t>Human Subject Research</w:t>
        </w:r>
      </w:hyperlink>
      <w:r>
        <w:t xml:space="preserve">/ </w:t>
      </w:r>
      <w:hyperlink r:id="rId16" w:tgtFrame="_blank" w:history="1">
        <w:r>
          <w:rPr>
            <w:rStyle w:val="Hyperlink"/>
          </w:rPr>
          <w:t>Clinical Investigation</w:t>
        </w:r>
      </w:hyperlink>
      <w:r>
        <w:t xml:space="preserve"> WILL REQUIRE SUBMISSION of an application to the IRB-HSR.</w:t>
      </w:r>
    </w:p>
    <w:p w14:paraId="5812D34B" w14:textId="6540C4C0" w:rsidR="00BF4565" w:rsidRDefault="00BF4565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1EBC74D2" w14:textId="77777777" w:rsidR="00BF4565" w:rsidRDefault="00BF4565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BF4565">
        <w:rPr>
          <w:rFonts w:asciiTheme="minorHAnsi" w:hAnsiTheme="minorHAnsi" w:cstheme="minorHAnsi"/>
          <w:bCs/>
          <w:noProof/>
          <w:color w:val="333333"/>
          <w:sz w:val="24"/>
          <w:szCs w:val="24"/>
        </w:rPr>
        <w:drawing>
          <wp:inline distT="0" distB="0" distL="0" distR="0" wp14:anchorId="2565508F" wp14:editId="54BD2BAE">
            <wp:extent cx="3192212" cy="2282025"/>
            <wp:effectExtent l="0" t="0" r="8255" b="4445"/>
            <wp:docPr id="16" name="Content Placeholder 4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93FA083-C1A8-C039-BD61-43485EB3F2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4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893FA083-C1A8-C039-BD61-43485EB3F2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9850" cy="228748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777381" h="5643794">
                          <a:moveTo>
                            <a:pt x="143704" y="0"/>
                          </a:moveTo>
                          <a:lnTo>
                            <a:pt x="4633677" y="0"/>
                          </a:lnTo>
                          <a:cubicBezTo>
                            <a:pt x="4713043" y="0"/>
                            <a:pt x="4777381" y="64338"/>
                            <a:pt x="4777381" y="143704"/>
                          </a:cubicBezTo>
                          <a:lnTo>
                            <a:pt x="4777381" y="5500090"/>
                          </a:lnTo>
                          <a:cubicBezTo>
                            <a:pt x="4777381" y="5579456"/>
                            <a:pt x="4713043" y="5643794"/>
                            <a:pt x="4633677" y="5643794"/>
                          </a:cubicBezTo>
                          <a:lnTo>
                            <a:pt x="143704" y="5643794"/>
                          </a:lnTo>
                          <a:cubicBezTo>
                            <a:pt x="64338" y="5643794"/>
                            <a:pt x="0" y="5579456"/>
                            <a:pt x="0" y="5500090"/>
                          </a:cubicBezTo>
                          <a:lnTo>
                            <a:pt x="0" y="143704"/>
                          </a:lnTo>
                          <a:cubicBezTo>
                            <a:pt x="0" y="64338"/>
                            <a:pt x="64338" y="0"/>
                            <a:pt x="143704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0ACE8C3" w14:textId="77777777" w:rsidR="00BF4565" w:rsidRPr="00457CA7" w:rsidRDefault="00BF4565" w:rsidP="00CE2676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F7D1F3B" w14:textId="0E23F9AC" w:rsidR="00FA221D" w:rsidRDefault="00FA221D" w:rsidP="00CE2676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</w:p>
    <w:p w14:paraId="1EC6840E" w14:textId="40C4DD2F" w:rsidR="00457CA7" w:rsidRPr="00457CA7" w:rsidRDefault="00457CA7" w:rsidP="00457CA7">
      <w:pPr>
        <w:shd w:val="clear" w:color="auto" w:fill="F4B083" w:themeFill="accent2" w:themeFillTint="99"/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t>Preferred Email Address</w:t>
      </w:r>
    </w:p>
    <w:p w14:paraId="2416FFEB" w14:textId="5165B86E" w:rsidR="0016738B" w:rsidRPr="00457CA7" w:rsidRDefault="0016738B" w:rsidP="00BC3401">
      <w:pPr>
        <w:spacing w:after="0" w:line="240" w:lineRule="auto"/>
        <w:rPr>
          <w:rStyle w:val="hgkelc"/>
          <w:b/>
          <w:bCs/>
          <w:lang w:val="en"/>
        </w:rPr>
      </w:pPr>
    </w:p>
    <w:p w14:paraId="4661373E" w14:textId="1F4128BF" w:rsidR="0016453D" w:rsidRDefault="00457CA7" w:rsidP="00BC3401">
      <w:pPr>
        <w:spacing w:after="0" w:line="240" w:lineRule="auto"/>
        <w:rPr>
          <w:rStyle w:val="hgkelc"/>
          <w:lang w:val="en"/>
        </w:rPr>
      </w:pPr>
      <w:r w:rsidRPr="00457CA7">
        <w:rPr>
          <w:rStyle w:val="hgkelc"/>
          <w:b/>
          <w:bCs/>
          <w:lang w:val="en"/>
        </w:rPr>
        <w:t>Effective December 15,2022,</w:t>
      </w:r>
      <w:r>
        <w:rPr>
          <w:rStyle w:val="hgkelc"/>
          <w:lang w:val="en"/>
        </w:rPr>
        <w:t xml:space="preserve"> the IRB HSR via IRB PRO,</w:t>
      </w:r>
      <w:r w:rsidR="00B40FBA">
        <w:rPr>
          <w:rStyle w:val="hgkelc"/>
          <w:lang w:val="en"/>
        </w:rPr>
        <w:t xml:space="preserve"> individuals </w:t>
      </w:r>
      <w:r>
        <w:rPr>
          <w:rStyle w:val="hgkelc"/>
          <w:lang w:val="en"/>
        </w:rPr>
        <w:t xml:space="preserve">can </w:t>
      </w:r>
      <w:r w:rsidRPr="00B40FBA">
        <w:rPr>
          <w:rStyle w:val="hgkelc"/>
          <w:u w:val="single"/>
          <w:lang w:val="en"/>
        </w:rPr>
        <w:t>choose which email address</w:t>
      </w:r>
      <w:r>
        <w:rPr>
          <w:rStyle w:val="hgkelc"/>
          <w:lang w:val="en"/>
        </w:rPr>
        <w:t xml:space="preserve"> should be used for IRB</w:t>
      </w:r>
      <w:r w:rsidR="00044AF5">
        <w:rPr>
          <w:rStyle w:val="hgkelc"/>
          <w:lang w:val="en"/>
        </w:rPr>
        <w:t>-</w:t>
      </w:r>
      <w:r>
        <w:rPr>
          <w:rStyle w:val="hgkelc"/>
          <w:lang w:val="en"/>
        </w:rPr>
        <w:t>HSR communication.</w:t>
      </w:r>
      <w:r w:rsidR="00B40FBA">
        <w:rPr>
          <w:rStyle w:val="hgkelc"/>
          <w:lang w:val="en"/>
        </w:rPr>
        <w:t xml:space="preserve"> </w:t>
      </w:r>
    </w:p>
    <w:p w14:paraId="0060FD87" w14:textId="23EAD559" w:rsidR="00457CA7" w:rsidRDefault="00457CA7" w:rsidP="00BC3401">
      <w:pPr>
        <w:spacing w:after="0" w:line="240" w:lineRule="auto"/>
        <w:rPr>
          <w:rStyle w:val="hgkelc"/>
          <w:lang w:val="en"/>
        </w:rPr>
      </w:pPr>
    </w:p>
    <w:p w14:paraId="5A7B783B" w14:textId="39D9202C" w:rsidR="00457CA7" w:rsidRDefault="00457CA7" w:rsidP="00BC3401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Through </w:t>
      </w:r>
      <w:hyperlink r:id="rId18" w:history="1">
        <w:r w:rsidRPr="00C6577C">
          <w:rPr>
            <w:rStyle w:val="Hyperlink"/>
            <w:lang w:val="en"/>
          </w:rPr>
          <w:t>IRB PRO</w:t>
        </w:r>
      </w:hyperlink>
      <w:r>
        <w:rPr>
          <w:rStyle w:val="hgkelc"/>
          <w:lang w:val="en"/>
        </w:rPr>
        <w:t xml:space="preserve">, click Investigator, scroll down to CONTACT INFORMATION, and click EDIT. You have three </w:t>
      </w:r>
      <w:r w:rsidR="00C6577C">
        <w:rPr>
          <w:rStyle w:val="hgkelc"/>
          <w:lang w:val="en"/>
        </w:rPr>
        <w:t xml:space="preserve">email address </w:t>
      </w:r>
      <w:r>
        <w:rPr>
          <w:rStyle w:val="hgkelc"/>
          <w:lang w:val="en"/>
        </w:rPr>
        <w:t xml:space="preserve">options to choose from.  </w:t>
      </w:r>
      <w:r w:rsidRPr="00C6577C">
        <w:rPr>
          <w:rStyle w:val="hgkelc"/>
          <w:u w:val="single"/>
          <w:lang w:val="en"/>
        </w:rPr>
        <w:t>Please update your contact information at any time.</w:t>
      </w:r>
      <w:r>
        <w:rPr>
          <w:rStyle w:val="hgkelc"/>
          <w:lang w:val="en"/>
        </w:rPr>
        <w:t xml:space="preserve">  </w:t>
      </w:r>
    </w:p>
    <w:p w14:paraId="59B3F8F2" w14:textId="68624842" w:rsidR="00531020" w:rsidRDefault="00531020" w:rsidP="00BC3401">
      <w:pPr>
        <w:spacing w:after="0" w:line="240" w:lineRule="auto"/>
        <w:rPr>
          <w:rStyle w:val="hgkelc"/>
          <w:lang w:val="en"/>
        </w:rPr>
      </w:pPr>
    </w:p>
    <w:p w14:paraId="4A11B29C" w14:textId="623B14A0" w:rsidR="008C2731" w:rsidRDefault="00457CA7" w:rsidP="008C2731">
      <w:pPr>
        <w:spacing w:after="0" w:line="240" w:lineRule="auto"/>
        <w:rPr>
          <w:rStyle w:val="hgkelc"/>
          <w:lang w:val="en"/>
        </w:rPr>
      </w:pPr>
      <w:r w:rsidRPr="00457CA7">
        <w:rPr>
          <w:rStyle w:val="hgkelc"/>
          <w:noProof/>
          <w:lang w:val="en"/>
        </w:rPr>
        <w:drawing>
          <wp:inline distT="0" distB="0" distL="0" distR="0" wp14:anchorId="05A02EC7" wp14:editId="45427C61">
            <wp:extent cx="2353586" cy="1866525"/>
            <wp:effectExtent l="0" t="0" r="8890" b="635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660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gkelc"/>
          <w:lang w:val="en"/>
        </w:rPr>
        <w:t xml:space="preserve"> </w:t>
      </w:r>
    </w:p>
    <w:p w14:paraId="0F9333FE" w14:textId="22AA7CA4" w:rsidR="00D135C7" w:rsidRDefault="00D135C7" w:rsidP="008C2731">
      <w:pPr>
        <w:spacing w:after="0" w:line="240" w:lineRule="auto"/>
        <w:rPr>
          <w:lang w:val="en"/>
        </w:rPr>
      </w:pPr>
    </w:p>
    <w:p w14:paraId="3F3CA562" w14:textId="131759A7" w:rsidR="00531020" w:rsidRDefault="00531020" w:rsidP="00531020">
      <w:pPr>
        <w:shd w:val="clear" w:color="auto" w:fill="F4B083" w:themeFill="accent2" w:themeFillTint="99"/>
        <w:spacing w:after="0" w:line="240" w:lineRule="auto"/>
        <w:jc w:val="center"/>
        <w:rPr>
          <w:lang w:val="en"/>
        </w:rPr>
      </w:pPr>
      <w:r>
        <w:rPr>
          <w:rFonts w:asciiTheme="minorHAnsi" w:hAnsiTheme="minorHAnsi" w:cstheme="minorHAnsi"/>
          <w:b/>
          <w:color w:val="333333"/>
          <w:sz w:val="32"/>
          <w:szCs w:val="32"/>
          <w:lang w:val="en"/>
        </w:rPr>
        <w:lastRenderedPageBreak/>
        <w:t>IRB HSR Office Contact</w:t>
      </w:r>
    </w:p>
    <w:p w14:paraId="10E33E3C" w14:textId="6C9D4765" w:rsidR="00531020" w:rsidRDefault="00531020" w:rsidP="008C2731">
      <w:pPr>
        <w:spacing w:after="0" w:line="240" w:lineRule="auto"/>
        <w:rPr>
          <w:lang w:val="en"/>
        </w:rPr>
      </w:pPr>
    </w:p>
    <w:p w14:paraId="4D39030C" w14:textId="77777777" w:rsidR="00531020" w:rsidRPr="00531020" w:rsidRDefault="00531020" w:rsidP="00531020">
      <w:pPr>
        <w:pStyle w:val="NormalWeb"/>
        <w:rPr>
          <w:rFonts w:asciiTheme="minorHAnsi" w:hAnsiTheme="minorHAnsi" w:cstheme="minorHAnsi"/>
        </w:rPr>
      </w:pPr>
      <w:r w:rsidRPr="00531020">
        <w:rPr>
          <w:rFonts w:asciiTheme="minorHAnsi" w:hAnsiTheme="minorHAnsi" w:cstheme="minorHAnsi"/>
        </w:rPr>
        <w:t xml:space="preserve">For individual staff email addresses see </w:t>
      </w:r>
      <w:hyperlink r:id="rId20" w:history="1">
        <w:r w:rsidRPr="00531020">
          <w:rPr>
            <w:rStyle w:val="Hyperlink"/>
            <w:rFonts w:asciiTheme="minorHAnsi" w:hAnsiTheme="minorHAnsi" w:cstheme="minorHAnsi"/>
          </w:rPr>
          <w:t>Staff Directory</w:t>
        </w:r>
      </w:hyperlink>
    </w:p>
    <w:p w14:paraId="1F36CCC9" w14:textId="77777777" w:rsidR="00531020" w:rsidRPr="00531020" w:rsidRDefault="00531020" w:rsidP="00531020">
      <w:pPr>
        <w:pStyle w:val="NormalWeb"/>
        <w:rPr>
          <w:rFonts w:asciiTheme="minorHAnsi" w:hAnsiTheme="minorHAnsi" w:cstheme="minorHAnsi"/>
        </w:rPr>
      </w:pPr>
      <w:r w:rsidRPr="00531020">
        <w:rPr>
          <w:rFonts w:asciiTheme="minorHAnsi" w:hAnsiTheme="minorHAnsi" w:cstheme="minorHAnsi"/>
        </w:rPr>
        <w:t xml:space="preserve">General Office Phone: (434)-924-2620  </w:t>
      </w:r>
    </w:p>
    <w:p w14:paraId="145B044D" w14:textId="6C58164B" w:rsidR="00531020" w:rsidRPr="00531020" w:rsidRDefault="00531020" w:rsidP="00531020">
      <w:pPr>
        <w:pStyle w:val="NormalWeb"/>
        <w:rPr>
          <w:rFonts w:asciiTheme="minorHAnsi" w:hAnsiTheme="minorHAnsi" w:cstheme="minorHAnsi"/>
        </w:rPr>
      </w:pPr>
      <w:r w:rsidRPr="00531020">
        <w:rPr>
          <w:rFonts w:asciiTheme="minorHAnsi" w:hAnsiTheme="minorHAnsi" w:cstheme="minorHAnsi"/>
        </w:rPr>
        <w:t xml:space="preserve">General Questions: </w:t>
      </w:r>
      <w:hyperlink r:id="rId21" w:history="1">
        <w:r w:rsidRPr="00531020">
          <w:rPr>
            <w:rStyle w:val="Hyperlink"/>
            <w:rFonts w:asciiTheme="minorHAnsi" w:hAnsiTheme="minorHAnsi" w:cstheme="minorHAnsi"/>
          </w:rPr>
          <w:t>I</w:t>
        </w:r>
      </w:hyperlink>
      <w:hyperlink r:id="rId22" w:history="1">
        <w:r w:rsidRPr="00531020">
          <w:rPr>
            <w:rStyle w:val="Hyperlink"/>
            <w:rFonts w:asciiTheme="minorHAnsi" w:hAnsiTheme="minorHAnsi" w:cstheme="minorHAnsi"/>
          </w:rPr>
          <w:t>RBHSR</w:t>
        </w:r>
      </w:hyperlink>
      <w:hyperlink r:id="rId23" w:history="1">
        <w:r w:rsidRPr="00531020">
          <w:rPr>
            <w:rStyle w:val="Hyperlink"/>
            <w:rFonts w:asciiTheme="minorHAnsi" w:hAnsiTheme="minorHAnsi" w:cstheme="minorHAnsi"/>
          </w:rPr>
          <w:t>@virginia.edu</w:t>
        </w:r>
      </w:hyperlink>
    </w:p>
    <w:p w14:paraId="7CB9BBB0" w14:textId="6D7297EB" w:rsidR="00531020" w:rsidRPr="00BF4565" w:rsidRDefault="00531020" w:rsidP="008C2731">
      <w:pPr>
        <w:spacing w:after="0" w:line="240" w:lineRule="auto"/>
        <w:rPr>
          <w:lang w:val="en"/>
        </w:rPr>
      </w:pPr>
      <w:r w:rsidRPr="00531020">
        <w:rPr>
          <w:b/>
          <w:bCs/>
          <w:lang w:val="en"/>
        </w:rPr>
        <w:t>Note:</w:t>
      </w:r>
      <w:r>
        <w:rPr>
          <w:lang w:val="en"/>
        </w:rPr>
        <w:t xml:space="preserve">  </w:t>
      </w:r>
      <w:r w:rsidRPr="00531020">
        <w:rPr>
          <w:u w:val="single"/>
          <w:lang w:val="en"/>
        </w:rPr>
        <w:t>irbhsradmin@virginia.edu</w:t>
      </w:r>
      <w:r>
        <w:rPr>
          <w:lang w:val="en"/>
        </w:rPr>
        <w:t xml:space="preserve"> has been disabled</w:t>
      </w:r>
    </w:p>
    <w:p w14:paraId="23FDDDB2" w14:textId="77777777" w:rsidR="008C2731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5D2EB307" w14:textId="77777777" w:rsidR="008C2731" w:rsidRPr="00990128" w:rsidRDefault="008C2731" w:rsidP="008C2731">
      <w:pPr>
        <w:shd w:val="clear" w:color="auto" w:fill="9CC2E5" w:themeFill="accent1" w:themeFillTint="99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</w:t>
      </w:r>
      <w:r w:rsidRPr="00990128">
        <w:rPr>
          <w:rFonts w:asciiTheme="minorHAnsi" w:hAnsiTheme="minorHAnsi" w:cstheme="minorHAnsi"/>
          <w:b/>
          <w:sz w:val="36"/>
          <w:szCs w:val="36"/>
          <w:lang w:val="en"/>
        </w:rPr>
        <w:t>REMINDER</w:t>
      </w:r>
      <w:r w:rsidRPr="00990128"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*****</w:t>
      </w:r>
    </w:p>
    <w:p w14:paraId="63970AAD" w14:textId="77777777" w:rsidR="008C2731" w:rsidRPr="00B40FBA" w:rsidRDefault="008C2731" w:rsidP="008C2731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Cs/>
          <w:color w:val="333333"/>
          <w:sz w:val="36"/>
          <w:szCs w:val="36"/>
          <w:lang w:val="en"/>
        </w:rPr>
      </w:pPr>
    </w:p>
    <w:p w14:paraId="348187B5" w14:textId="58FEDDD8" w:rsidR="008C2731" w:rsidRPr="00B40FBA" w:rsidRDefault="008C2731" w:rsidP="00B40FBA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</w:pPr>
      <w:r w:rsidRPr="00B40FBA"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  <w:t xml:space="preserve">GCP training is required for </w:t>
      </w:r>
      <w:r w:rsidR="00B40FBA" w:rsidRPr="00B40FBA"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  <w:t xml:space="preserve">any individual listed on a </w:t>
      </w:r>
      <w:r w:rsidRPr="00B40FBA"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  <w:t>FULL BOARD STUD</w:t>
      </w:r>
      <w:r w:rsidR="00B40FBA" w:rsidRPr="00B40FBA"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  <w:t>Y</w:t>
      </w:r>
      <w:r w:rsidRPr="00B40FBA">
        <w:rPr>
          <w:rFonts w:asciiTheme="minorHAnsi" w:hAnsiTheme="minorHAnsi" w:cstheme="minorHAnsi"/>
          <w:b/>
          <w:color w:val="333333"/>
          <w:sz w:val="36"/>
          <w:szCs w:val="36"/>
          <w:highlight w:val="yellow"/>
          <w:lang w:val="en"/>
        </w:rPr>
        <w:t xml:space="preserve"> and must be complete by January 15,2023</w:t>
      </w:r>
    </w:p>
    <w:p w14:paraId="674F400F" w14:textId="77777777" w:rsidR="00B40FBA" w:rsidRDefault="00B40FBA" w:rsidP="00B40FBA">
      <w:pPr>
        <w:spacing w:after="0" w:line="240" w:lineRule="auto"/>
        <w:jc w:val="center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</w:p>
    <w:p w14:paraId="2B2A1F94" w14:textId="63367FE6" w:rsidR="00BF4565" w:rsidRDefault="00BF4565" w:rsidP="008C2731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*Email reminders have been sent to those individuals who have not completed their required</w:t>
      </w:r>
      <w:r w:rsidR="00B40FBA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 </w:t>
      </w:r>
      <w:r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training. </w:t>
      </w:r>
    </w:p>
    <w:p w14:paraId="68400411" w14:textId="77777777" w:rsidR="008C2731" w:rsidRDefault="008C2731" w:rsidP="008C2731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</w:pPr>
    </w:p>
    <w:p w14:paraId="7AE8EDCB" w14:textId="77777777" w:rsidR="008C2731" w:rsidRDefault="008C2731" w:rsidP="008C2731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GCP training </w:t>
      </w:r>
      <w:r>
        <w:rPr>
          <w:rStyle w:val="hgkelc"/>
          <w:b/>
          <w:bCs/>
          <w:lang w:val="en"/>
        </w:rPr>
        <w:t>describes the responsibilities of investigators, sponsors, monitors, and IRBs in the conduct of clinical trials</w:t>
      </w:r>
      <w:r>
        <w:rPr>
          <w:rStyle w:val="hgkelc"/>
          <w:lang w:val="en"/>
        </w:rPr>
        <w:t>. GCP training aims to ensure that: the rights, safety, and well-being of human subjects are protected. clinical trials are conducted in accordance with approved plans with rigor and integrity.</w:t>
      </w:r>
    </w:p>
    <w:p w14:paraId="54F77AFB" w14:textId="77777777" w:rsidR="008C2731" w:rsidRDefault="008C2731" w:rsidP="008C2731">
      <w:pPr>
        <w:spacing w:after="0" w:line="240" w:lineRule="auto"/>
        <w:rPr>
          <w:rStyle w:val="hgkelc"/>
          <w:lang w:val="en"/>
        </w:rPr>
      </w:pPr>
    </w:p>
    <w:p w14:paraId="3535E14D" w14:textId="77777777" w:rsidR="008C2731" w:rsidRDefault="008C2731" w:rsidP="008C2731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GCP training can have either FDA or ICH focus.  </w:t>
      </w:r>
      <w:r w:rsidRPr="004D5C7E">
        <w:rPr>
          <w:rStyle w:val="hgkelc"/>
          <w:b/>
          <w:bCs/>
          <w:lang w:val="en"/>
        </w:rPr>
        <w:t xml:space="preserve">This determination is study specific. </w:t>
      </w:r>
      <w:r>
        <w:rPr>
          <w:rStyle w:val="hgkelc"/>
          <w:lang w:val="en"/>
        </w:rPr>
        <w:t xml:space="preserve"> </w:t>
      </w:r>
    </w:p>
    <w:p w14:paraId="6F1112F3" w14:textId="77777777" w:rsidR="008C2731" w:rsidRPr="00CB3CBC" w:rsidRDefault="008C2731" w:rsidP="008C2731">
      <w:pPr>
        <w:spacing w:after="0" w:line="240" w:lineRule="auto"/>
        <w:rPr>
          <w:u w:val="single"/>
        </w:rPr>
      </w:pPr>
      <w:r>
        <w:rPr>
          <w:rStyle w:val="hgkelc"/>
          <w:lang w:val="en"/>
        </w:rPr>
        <w:t>ICH focus-</w:t>
      </w:r>
      <w:r>
        <w:t xml:space="preserve">conduct of clinical trials of drugs and biologics in the </w:t>
      </w:r>
      <w:r w:rsidRPr="00CB3CBC">
        <w:rPr>
          <w:u w:val="single"/>
        </w:rPr>
        <w:t>U.S. and internationally</w:t>
      </w:r>
    </w:p>
    <w:p w14:paraId="7D10D528" w14:textId="77777777" w:rsidR="008C2731" w:rsidRDefault="008C2731" w:rsidP="008C2731">
      <w:pPr>
        <w:spacing w:after="0" w:line="240" w:lineRule="auto"/>
        <w:rPr>
          <w:u w:val="single"/>
        </w:rPr>
      </w:pPr>
      <w:r>
        <w:t>FDA focus-conduct of clinical trials of drugs, biologics, and devices</w:t>
      </w:r>
      <w:r w:rsidRPr="00CB3CBC">
        <w:rPr>
          <w:u w:val="single"/>
        </w:rPr>
        <w:t xml:space="preserve"> primarily in the U.S.</w:t>
      </w:r>
    </w:p>
    <w:p w14:paraId="09CE5A7E" w14:textId="77777777" w:rsidR="008C2731" w:rsidRDefault="008C2731" w:rsidP="008C2731">
      <w:pPr>
        <w:spacing w:after="0" w:line="240" w:lineRule="auto"/>
        <w:rPr>
          <w:u w:val="single"/>
        </w:rPr>
      </w:pPr>
    </w:p>
    <w:p w14:paraId="4C724A19" w14:textId="77777777" w:rsidR="008C2731" w:rsidRPr="00CE2676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5E17701" wp14:editId="459F494A">
            <wp:extent cx="4705350" cy="502920"/>
            <wp:effectExtent l="0" t="0" r="0" b="0"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40785" cy="50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16F02" w14:textId="77777777" w:rsidR="008C2731" w:rsidRDefault="008C2731" w:rsidP="008C2731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GCP training for full board studies is in addition to the standard IRB BASIC RESEARCHER Training via CITI. </w:t>
      </w:r>
    </w:p>
    <w:p w14:paraId="015C75F9" w14:textId="77777777" w:rsidR="008C2731" w:rsidRDefault="008C2731" w:rsidP="008C2731">
      <w:pPr>
        <w:spacing w:after="0" w:line="240" w:lineRule="auto"/>
        <w:rPr>
          <w:rStyle w:val="hgkelc"/>
          <w:lang w:val="en"/>
        </w:rPr>
      </w:pPr>
      <w:r>
        <w:rPr>
          <w:rStyle w:val="hgkelc"/>
          <w:lang w:val="en"/>
        </w:rPr>
        <w:t xml:space="preserve">Access to GCP training in CITI must be done behind Netbadge. Information can also be found on the </w:t>
      </w:r>
      <w:hyperlink r:id="rId25" w:history="1">
        <w:r w:rsidRPr="004D5C7E">
          <w:rPr>
            <w:rStyle w:val="Hyperlink"/>
            <w:lang w:val="en"/>
          </w:rPr>
          <w:t>IRB HSR website</w:t>
        </w:r>
      </w:hyperlink>
    </w:p>
    <w:p w14:paraId="5326878E" w14:textId="77777777" w:rsidR="008C2731" w:rsidRPr="00CB3CBC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82B31F9" w14:textId="77777777" w:rsidR="008C2731" w:rsidRPr="00CE2676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CB3CBC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 xml:space="preserve">New full board studies created in Protocol Builder after July </w:t>
      </w:r>
      <w:r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1,2022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will 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indicate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in protocol builder 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under the </w:t>
      </w:r>
      <w:r w:rsidRPr="00463CC3">
        <w:rPr>
          <w:rFonts w:asciiTheme="minorHAnsi" w:hAnsiTheme="minorHAnsi" w:cstheme="minorHAnsi"/>
          <w:bCs/>
          <w:i/>
          <w:iCs/>
          <w:color w:val="333333"/>
          <w:sz w:val="24"/>
          <w:szCs w:val="24"/>
          <w:lang w:val="en"/>
        </w:rPr>
        <w:t>Auxiliary Info tab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,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9C1DA9">
        <w:rPr>
          <w:rFonts w:asciiTheme="minorHAnsi" w:hAnsiTheme="minorHAnsi" w:cstheme="minorHAnsi"/>
          <w:bCs/>
          <w:color w:val="333333"/>
          <w:sz w:val="24"/>
          <w:szCs w:val="24"/>
          <w:u w:val="single"/>
          <w:lang w:val="en"/>
        </w:rPr>
        <w:t>TYPE Of GCP training (ICH or FDA)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.  This information will also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populate on the Protocol Coversheet.</w:t>
      </w:r>
    </w:p>
    <w:p w14:paraId="7C28E529" w14:textId="0A9CE054" w:rsidR="008C2731" w:rsidRPr="004D5C7E" w:rsidRDefault="008C2731" w:rsidP="008C2731">
      <w:pPr>
        <w:pStyle w:val="ListParagraph"/>
        <w:spacing w:after="0" w:line="240" w:lineRule="auto"/>
        <w:ind w:left="90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7EC4F94" w14:textId="480BE873" w:rsidR="008C2731" w:rsidRPr="00CE2676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CE2676">
        <w:rPr>
          <w:rFonts w:asciiTheme="minorHAnsi" w:hAnsiTheme="minorHAnsi" w:cstheme="minorHAnsi"/>
          <w:b/>
          <w:color w:val="333333"/>
          <w:sz w:val="24"/>
          <w:szCs w:val="24"/>
          <w:lang w:val="en"/>
        </w:rPr>
        <w:t>For currently active full board studies, the GCP requirement will default to EITHER.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 To change from 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FDA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to ICH focus for an already active study, contact the IRB HSR.  </w:t>
      </w:r>
    </w:p>
    <w:p w14:paraId="4FB5BA01" w14:textId="00514063" w:rsidR="008C2731" w:rsidRDefault="008C2731" w:rsidP="008C2731">
      <w:pPr>
        <w:pStyle w:val="ListParagraph"/>
        <w:spacing w:after="0" w:line="240" w:lineRule="auto"/>
        <w:ind w:left="90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9AD9F05" w14:textId="02EACA00" w:rsidR="008C2731" w:rsidRDefault="008C2731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BF4565">
        <w:rPr>
          <w:rFonts w:asciiTheme="minorHAnsi" w:hAnsiTheme="minorHAnsi" w:cstheme="minorHAnsi"/>
          <w:b/>
          <w:color w:val="333333"/>
          <w:sz w:val="24"/>
          <w:szCs w:val="24"/>
          <w:highlight w:val="yellow"/>
          <w:lang w:val="en"/>
        </w:rPr>
        <w:t>The deadline for completion is now January 15,2023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.  At that time, 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IRB HSR will run a report to identify those individuals that have not completed training and </w:t>
      </w:r>
      <w:r w:rsidRPr="008C2731">
        <w:rPr>
          <w:rFonts w:asciiTheme="minorHAnsi" w:hAnsiTheme="minorHAnsi" w:cstheme="minorHAnsi"/>
          <w:bCs/>
          <w:color w:val="333333"/>
          <w:sz w:val="24"/>
          <w:szCs w:val="24"/>
          <w:u w:val="single"/>
          <w:lang w:val="en"/>
        </w:rPr>
        <w:t>who may be removed from the study at that point.</w:t>
      </w:r>
      <w:r w:rsidRPr="00CE267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 </w:t>
      </w:r>
    </w:p>
    <w:p w14:paraId="7EE6FB06" w14:textId="40EC7988" w:rsidR="00C6577C" w:rsidRDefault="00C6577C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6E3E2A9F" w14:textId="2A6E5A09" w:rsidR="00C6577C" w:rsidRDefault="00C6577C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B7341" wp14:editId="5396F2B8">
            <wp:simplePos x="0" y="0"/>
            <wp:positionH relativeFrom="column">
              <wp:posOffset>-123439</wp:posOffset>
            </wp:positionH>
            <wp:positionV relativeFrom="paragraph">
              <wp:posOffset>137216</wp:posOffset>
            </wp:positionV>
            <wp:extent cx="6855895" cy="1876508"/>
            <wp:effectExtent l="0" t="0" r="2540" b="0"/>
            <wp:wrapNone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895" cy="187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2D8C4" w14:textId="0FEC0829" w:rsidR="00C6577C" w:rsidRDefault="00C6577C" w:rsidP="008C2731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753A931F" w14:textId="632AFD40" w:rsidR="00C6577C" w:rsidRDefault="00C6577C" w:rsidP="00BC34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"/>
        </w:rPr>
      </w:pPr>
    </w:p>
    <w:p w14:paraId="03427D29" w14:textId="77777777" w:rsidR="00C6577C" w:rsidRPr="00990128" w:rsidRDefault="00C6577C" w:rsidP="00BC340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en"/>
        </w:rPr>
      </w:pPr>
    </w:p>
    <w:p w14:paraId="7AF6693B" w14:textId="37A7123D" w:rsidR="00990128" w:rsidRPr="00990128" w:rsidRDefault="00990128" w:rsidP="0016738B">
      <w:pPr>
        <w:shd w:val="clear" w:color="auto" w:fill="9CC2E5" w:themeFill="accent1" w:themeFillTint="99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</w:t>
      </w:r>
      <w:r w:rsidRPr="00990128">
        <w:rPr>
          <w:rFonts w:asciiTheme="minorHAnsi" w:hAnsiTheme="minorHAnsi" w:cstheme="minorHAnsi"/>
          <w:b/>
          <w:sz w:val="36"/>
          <w:szCs w:val="36"/>
          <w:lang w:val="en"/>
        </w:rPr>
        <w:t>REMINDER</w:t>
      </w:r>
      <w:r w:rsidRPr="00990128"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*****</w:t>
      </w:r>
    </w:p>
    <w:p w14:paraId="641C4488" w14:textId="2B7E0DD1" w:rsidR="00CB5345" w:rsidRPr="00457CA7" w:rsidRDefault="00CB5345" w:rsidP="00835D2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  <w:lang w:val="en"/>
        </w:rPr>
      </w:pPr>
    </w:p>
    <w:p w14:paraId="3E91EEE6" w14:textId="672661C0" w:rsidR="00004AEA" w:rsidRDefault="00457CA7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457CA7">
        <w:rPr>
          <w:rFonts w:asciiTheme="minorHAnsi" w:hAnsiTheme="minorHAnsi" w:cstheme="minorHAnsi"/>
          <w:b/>
          <w:sz w:val="24"/>
          <w:szCs w:val="24"/>
          <w:lang w:val="en"/>
        </w:rPr>
        <w:t>Effective May 20,2022,</w:t>
      </w:r>
      <w:r w:rsidRPr="00457CA7">
        <w:rPr>
          <w:rFonts w:asciiTheme="minorHAnsi" w:hAnsiTheme="minorHAnsi" w:cstheme="minorHAnsi"/>
          <w:bCs/>
          <w:sz w:val="24"/>
          <w:szCs w:val="24"/>
          <w:lang w:val="en"/>
        </w:rPr>
        <w:t xml:space="preserve"> y</w:t>
      </w:r>
      <w:r w:rsidR="007638EB" w:rsidRPr="00457CA7">
        <w:rPr>
          <w:rFonts w:asciiTheme="minorHAnsi" w:hAnsiTheme="minorHAnsi" w:cstheme="minorHAnsi"/>
          <w:bCs/>
          <w:sz w:val="24"/>
          <w:szCs w:val="24"/>
          <w:lang w:val="en"/>
        </w:rPr>
        <w:t xml:space="preserve">ou are REQUIRED to use the </w:t>
      </w:r>
      <w:r w:rsidR="00CB5345" w:rsidRPr="00457CA7">
        <w:rPr>
          <w:rFonts w:asciiTheme="minorHAnsi" w:hAnsiTheme="minorHAnsi" w:cstheme="minorHAnsi"/>
          <w:bCs/>
          <w:sz w:val="24"/>
          <w:szCs w:val="24"/>
          <w:lang w:val="en"/>
        </w:rPr>
        <w:t>NEW route for submission of study documents</w:t>
      </w:r>
      <w:r w:rsidR="001E6806" w:rsidRPr="00457CA7">
        <w:rPr>
          <w:rFonts w:asciiTheme="minorHAnsi" w:hAnsiTheme="minorHAnsi" w:cstheme="minorHAnsi"/>
          <w:bCs/>
          <w:sz w:val="24"/>
          <w:szCs w:val="24"/>
          <w:lang w:val="en"/>
        </w:rPr>
        <w:t xml:space="preserve"> to the IRB</w:t>
      </w:r>
      <w:r w:rsidR="00004AEA" w:rsidRPr="00457CA7">
        <w:rPr>
          <w:rFonts w:asciiTheme="minorHAnsi" w:hAnsiTheme="minorHAnsi" w:cstheme="minorHAnsi"/>
          <w:bCs/>
          <w:sz w:val="24"/>
          <w:szCs w:val="24"/>
          <w:lang w:val="en"/>
        </w:rPr>
        <w:t xml:space="preserve"> via IRB PRO</w:t>
      </w:r>
      <w:r w:rsidRPr="00457CA7">
        <w:rPr>
          <w:rFonts w:asciiTheme="minorHAnsi" w:hAnsiTheme="minorHAnsi" w:cstheme="minorHAnsi"/>
          <w:bCs/>
          <w:sz w:val="24"/>
          <w:szCs w:val="24"/>
          <w:lang w:val="en"/>
        </w:rPr>
        <w:t>.</w:t>
      </w: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  <w:hyperlink r:id="rId28" w:history="1">
        <w:r w:rsidR="00B40FBA" w:rsidRPr="00216764">
          <w:rPr>
            <w:rStyle w:val="Hyperlink"/>
            <w:rFonts w:asciiTheme="minorHAnsi" w:hAnsiTheme="minorHAnsi" w:cstheme="minorHAnsi"/>
            <w:bCs/>
            <w:sz w:val="24"/>
            <w:szCs w:val="24"/>
            <w:lang w:val="en"/>
          </w:rPr>
          <w:t>https://hrpp.irb.virginia.edu/irbpro/index.cfm</w:t>
        </w:r>
      </w:hyperlink>
    </w:p>
    <w:p w14:paraId="62D20F2B" w14:textId="77777777" w:rsid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1DE4E0CC" w14:textId="195B7367" w:rsidR="00CB5345" w:rsidRPr="00004AEA" w:rsidRDefault="00004AEA" w:rsidP="00835D21">
      <w:pPr>
        <w:spacing w:after="0" w:line="240" w:lineRule="auto"/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</w:pP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NOTE:  This NEW route </w:t>
      </w:r>
      <w:r w:rsidR="00FF29A1"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DOES </w:t>
      </w:r>
      <w:r w:rsidRPr="004F7586"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n"/>
        </w:rPr>
        <w:t xml:space="preserve">NOT 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apply to 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 xml:space="preserve">NEW </w:t>
      </w:r>
      <w:r w:rsidR="001E6806"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E</w:t>
      </w:r>
      <w:r w:rsidRPr="004F7586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"/>
        </w:rPr>
        <w:t>xpedited or NEW Full Board studies</w:t>
      </w:r>
      <w:r w:rsidRPr="00004AEA">
        <w:rPr>
          <w:rFonts w:asciiTheme="minorHAnsi" w:hAnsiTheme="minorHAnsi" w:cstheme="minorHAnsi"/>
          <w:b/>
          <w:color w:val="FF0000"/>
          <w:sz w:val="24"/>
          <w:szCs w:val="24"/>
          <w:lang w:val="en"/>
        </w:rPr>
        <w:t xml:space="preserve"> whose applications MUST still be submitted through CRCONNECT.</w:t>
      </w:r>
    </w:p>
    <w:p w14:paraId="761B20A8" w14:textId="09C0C931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43F30F87" w14:textId="0F3DC8D2" w:rsidR="00004AEA" w:rsidRPr="00004AEA" w:rsidRDefault="00004AEA" w:rsidP="00835D21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04DCFCB" wp14:editId="0956C5A0">
            <wp:extent cx="2803198" cy="7239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11534" cy="7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AEA">
        <w:rPr>
          <w:rFonts w:asciiTheme="minorHAnsi" w:hAnsiTheme="minorHAnsi" w:cstheme="minorHAnsi"/>
          <w:bCs/>
          <w:sz w:val="24"/>
          <w:szCs w:val="24"/>
          <w:lang w:val="en"/>
        </w:rPr>
        <w:t xml:space="preserve"> </w:t>
      </w:r>
    </w:p>
    <w:p w14:paraId="380AEDF3" w14:textId="77777777" w:rsidR="002A3438" w:rsidRPr="005A5E5B" w:rsidRDefault="002A3438" w:rsidP="00380523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</w:p>
    <w:p w14:paraId="5BDC6BE8" w14:textId="0E00527C" w:rsidR="00004AEA" w:rsidRPr="00EB1016" w:rsidRDefault="00004AEA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bookmarkStart w:id="0" w:name="_Hlk74147604"/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On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c</w:t>
      </w:r>
      <w:r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 logged into IRB PRO, the study team view shows both “My STUDIES” and the </w:t>
      </w:r>
    </w:p>
    <w:p w14:paraId="0AD590A6" w14:textId="253CED5B" w:rsidR="000C05A0" w:rsidRPr="00EB1016" w:rsidRDefault="00FF29A1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290DE7">
        <w:rPr>
          <w:rFonts w:asciiTheme="minorHAnsi" w:hAnsiTheme="minorHAnsi" w:cstheme="minorHAnsi"/>
          <w:b/>
          <w:color w:val="333333"/>
          <w:sz w:val="24"/>
          <w:szCs w:val="24"/>
          <w:u w:val="single"/>
          <w:lang w:val="en"/>
        </w:rPr>
        <w:t xml:space="preserve">NEW 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feature “</w:t>
      </w:r>
      <w:r w:rsidR="00004AEA" w:rsidRPr="00EB1016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SUBMIT DOCUMENTS”</w:t>
      </w:r>
      <w:r w:rsidR="001E6806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.  Click on SUBMIT DOCUMENTS to open the following:</w:t>
      </w:r>
    </w:p>
    <w:p w14:paraId="2B57EC01" w14:textId="31E10E3D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21EC0D08" w14:textId="676F3786" w:rsidR="00004AEA" w:rsidRDefault="00004AEA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CC6D532" wp14:editId="676D7C7F">
            <wp:extent cx="3040380" cy="1072015"/>
            <wp:effectExtent l="0" t="0" r="762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65421" cy="10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5B70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6AB524AC" wp14:editId="1BB1B241">
            <wp:extent cx="3390321" cy="1920240"/>
            <wp:effectExtent l="0" t="0" r="635" b="381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400255" cy="192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B564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3AAFA62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3C85C894" wp14:editId="499EDED2">
            <wp:extent cx="3598297" cy="1661160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10120" cy="166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3643" w14:textId="77777777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97E1EBA" w14:textId="2C7FB1B9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drop-down menu</w:t>
      </w:r>
      <w:r w:rsidR="00A95072" w:rsidRPr="00A95072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s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will provide ALL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event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options available to submit to the IRB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-HSR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via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IRB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PRO along with the </w:t>
      </w:r>
      <w:r w:rsidR="00A9507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numbers that the sender is listed on.  </w:t>
      </w:r>
    </w:p>
    <w:p w14:paraId="5C9390C4" w14:textId="24258D04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F9F95D0" w14:textId="1A0A364E" w:rsidR="00A95072" w:rsidRPr="00597E77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You will be prompted with the following instructions:</w:t>
      </w:r>
    </w:p>
    <w:p w14:paraId="73EE6ED1" w14:textId="7777777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30B1F06A" w14:textId="47C95B67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12C44CDF" wp14:editId="1B4BC66F">
            <wp:extent cx="6760408" cy="3009900"/>
            <wp:effectExtent l="0" t="0" r="254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783691" cy="302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 xml:space="preserve"> </w:t>
      </w:r>
    </w:p>
    <w:p w14:paraId="3C068750" w14:textId="090A32EC" w:rsidR="00597E77" w:rsidRDefault="00597E77" w:rsidP="000C05A0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</w:pPr>
    </w:p>
    <w:p w14:paraId="67503A62" w14:textId="384A78E3" w:rsidR="00597E77" w:rsidRDefault="00597E7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This new feature will also provide an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highlight w:val="yellow"/>
          <w:lang w:val="en"/>
        </w:rPr>
        <w:t>email confirmation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to the sender that indicates the </w:t>
      </w:r>
      <w:r w:rsidR="00FF29A1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study </w:t>
      </w:r>
      <w:r w:rsidRPr="00597E77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title, PI, type of submission and the list of documents submitted.  </w:t>
      </w:r>
    </w:p>
    <w:p w14:paraId="6F66C7E9" w14:textId="123DCAD8" w:rsidR="00A95072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23C4AFCA" w14:textId="561B0083" w:rsidR="00FF29A1" w:rsidRDefault="00A95072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767C5B4F" wp14:editId="78560F6A">
            <wp:extent cx="4431614" cy="3771900"/>
            <wp:effectExtent l="0" t="0" r="762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441524" cy="37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1EB5B" w14:textId="4491819C" w:rsidR="00457CA7" w:rsidRDefault="00457CA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1D2604DB" w14:textId="56950E76" w:rsidR="00B40FBA" w:rsidRDefault="00B40FBA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2F58BAF5" w14:textId="77777777" w:rsidR="00B40FBA" w:rsidRDefault="00B40FBA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5423875D" w14:textId="51A69A05" w:rsidR="00457CA7" w:rsidRDefault="00457CA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31B7A90" w14:textId="77777777" w:rsidR="00457CA7" w:rsidRPr="00990128" w:rsidRDefault="00457CA7" w:rsidP="00457CA7">
      <w:pPr>
        <w:shd w:val="clear" w:color="auto" w:fill="9CC2E5" w:themeFill="accent1" w:themeFillTint="99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lang w:val="en"/>
        </w:rPr>
      </w:pPr>
      <w:r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lastRenderedPageBreak/>
        <w:t>****</w:t>
      </w:r>
      <w:r w:rsidRPr="00990128">
        <w:rPr>
          <w:rFonts w:asciiTheme="minorHAnsi" w:hAnsiTheme="minorHAnsi" w:cstheme="minorHAnsi"/>
          <w:b/>
          <w:sz w:val="36"/>
          <w:szCs w:val="36"/>
          <w:lang w:val="en"/>
        </w:rPr>
        <w:t>REMINDER</w:t>
      </w:r>
      <w:r w:rsidRPr="00990128">
        <w:rPr>
          <w:rFonts w:asciiTheme="minorHAnsi" w:hAnsiTheme="minorHAnsi" w:cstheme="minorHAnsi"/>
          <w:b/>
          <w:color w:val="FF0000"/>
          <w:sz w:val="36"/>
          <w:szCs w:val="36"/>
          <w:lang w:val="en"/>
        </w:rPr>
        <w:t>*****</w:t>
      </w:r>
    </w:p>
    <w:p w14:paraId="335081B2" w14:textId="77777777" w:rsidR="00457CA7" w:rsidRDefault="00457CA7" w:rsidP="00457CA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328C5844" w14:textId="2E7227BF" w:rsidR="00457CA7" w:rsidRPr="001D5D8D" w:rsidRDefault="00457CA7" w:rsidP="00457CA7">
      <w:pPr>
        <w:spacing w:after="0" w:line="240" w:lineRule="auto"/>
        <w:rPr>
          <w:rFonts w:eastAsia="Times New Roman" w:cstheme="minorHAnsi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1DA9">
        <w:rPr>
          <w:rFonts w:eastAsia="Times New Roman" w:cstheme="minorHAnsi"/>
          <w:b/>
          <w:bCs/>
          <w:sz w:val="24"/>
          <w:szCs w:val="24"/>
        </w:rPr>
        <w:t>Effective July 1, 2022</w:t>
      </w:r>
      <w:r w:rsidRPr="001D5D8D">
        <w:rPr>
          <w:rFonts w:eastAsia="Times New Roman" w:cstheme="minorHAnsi"/>
          <w:sz w:val="24"/>
          <w:szCs w:val="24"/>
        </w:rPr>
        <w:t xml:space="preserve">, the IRB HSR </w:t>
      </w:r>
      <w:r w:rsidR="001741B3">
        <w:rPr>
          <w:rFonts w:eastAsia="Times New Roman" w:cstheme="minorHAnsi"/>
          <w:sz w:val="24"/>
          <w:szCs w:val="24"/>
        </w:rPr>
        <w:t xml:space="preserve">went </w:t>
      </w:r>
      <w:r w:rsidRPr="001D5D8D">
        <w:rPr>
          <w:rFonts w:eastAsia="Times New Roman" w:cstheme="minorHAnsi"/>
          <w:sz w:val="24"/>
          <w:szCs w:val="24"/>
        </w:rPr>
        <w:t xml:space="preserve">live with the </w:t>
      </w:r>
      <w:r w:rsidRPr="001D5D8D">
        <w:rPr>
          <w:rFonts w:eastAsia="Times New Roman" w:cstheme="minorHAnsi"/>
          <w:b/>
          <w:color w:val="5B9BD5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NEW Personnel Change Portal</w:t>
      </w:r>
      <w:r w:rsidRPr="001D5D8D">
        <w:rPr>
          <w:rFonts w:eastAsia="Times New Roman" w:cstheme="minorHAnsi"/>
          <w:b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IRB PRO.  </w:t>
      </w:r>
    </w:p>
    <w:p w14:paraId="4D22F0EF" w14:textId="77777777" w:rsidR="00457CA7" w:rsidRDefault="00044AF5" w:rsidP="00457CA7">
      <w:pPr>
        <w:spacing w:after="0" w:line="240" w:lineRule="auto"/>
        <w:rPr>
          <w:rStyle w:val="Hyperlink"/>
          <w:rFonts w:asciiTheme="minorHAnsi" w:hAnsiTheme="minorHAnsi" w:cstheme="minorHAnsi"/>
          <w:bCs/>
          <w:sz w:val="24"/>
          <w:szCs w:val="24"/>
          <w:lang w:val="en"/>
        </w:rPr>
      </w:pPr>
      <w:hyperlink r:id="rId35" w:history="1">
        <w:r w:rsidR="00457CA7" w:rsidRPr="00907DAB">
          <w:rPr>
            <w:rStyle w:val="Hyperlink"/>
            <w:rFonts w:asciiTheme="minorHAnsi" w:hAnsiTheme="minorHAnsi" w:cstheme="minorHAnsi"/>
            <w:bCs/>
            <w:sz w:val="24"/>
            <w:szCs w:val="24"/>
            <w:lang w:val="en"/>
          </w:rPr>
          <w:t>https://hrpp.irb.virginia.edu/irbpro/index.cfm</w:t>
        </w:r>
      </w:hyperlink>
    </w:p>
    <w:p w14:paraId="16C484C2" w14:textId="229D064D" w:rsidR="001741B3" w:rsidRDefault="00457CA7" w:rsidP="00457CA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49EB">
        <w:rPr>
          <w:rFonts w:eastAsia="Times New Roman" w:cstheme="minorHAnsi"/>
        </w:rPr>
        <w:t xml:space="preserve">This </w:t>
      </w:r>
      <w:r>
        <w:rPr>
          <w:rFonts w:eastAsia="Times New Roman" w:cstheme="minorHAnsi"/>
        </w:rPr>
        <w:t>NEW</w:t>
      </w:r>
      <w:r w:rsidRPr="00F149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feature </w:t>
      </w:r>
      <w:r w:rsidRPr="00F149EB">
        <w:rPr>
          <w:rFonts w:eastAsia="Times New Roman" w:cstheme="minorHAnsi"/>
        </w:rPr>
        <w:t xml:space="preserve">will </w:t>
      </w:r>
      <w:r>
        <w:rPr>
          <w:rFonts w:eastAsia="Times New Roman" w:cstheme="minorHAnsi"/>
        </w:rPr>
        <w:t xml:space="preserve">permit specific member roles within a study to </w:t>
      </w:r>
      <w:r w:rsidRPr="001D5D8D">
        <w:rPr>
          <w:rFonts w:eastAsia="Times New Roman" w:cstheme="minorHAnsi"/>
          <w:u w:val="single"/>
        </w:rPr>
        <w:t xml:space="preserve">add or delete personnel within IRB PRO. </w:t>
      </w:r>
      <w:r>
        <w:rPr>
          <w:rFonts w:eastAsia="Times New Roman" w:cstheme="minorHAnsi"/>
        </w:rPr>
        <w:t xml:space="preserve"> This process will </w:t>
      </w:r>
      <w:r w:rsidRPr="001D5D8D">
        <w:rPr>
          <w:rFonts w:eastAsia="Times New Roman" w:cstheme="minorHAnsi"/>
          <w:b/>
          <w:bCs/>
        </w:rPr>
        <w:t xml:space="preserve">replace </w:t>
      </w:r>
      <w:r w:rsidRPr="00F149EB">
        <w:rPr>
          <w:rFonts w:eastAsia="Times New Roman" w:cstheme="minorHAnsi"/>
        </w:rPr>
        <w:t xml:space="preserve">the Personnel Change </w:t>
      </w:r>
      <w:r w:rsidR="001741B3">
        <w:rPr>
          <w:rFonts w:eastAsia="Times New Roman" w:cstheme="minorHAnsi"/>
        </w:rPr>
        <w:t>For</w:t>
      </w:r>
      <w:r w:rsidR="001741B3" w:rsidRPr="00F149EB">
        <w:rPr>
          <w:rFonts w:eastAsia="Times New Roman" w:cstheme="minorHAnsi"/>
        </w:rPr>
        <w:t>m</w:t>
      </w:r>
      <w:r w:rsidRPr="00F149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which will NO LONGER be</w:t>
      </w:r>
      <w:r w:rsidRPr="00F149E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accepted </w:t>
      </w:r>
      <w:r w:rsidRPr="00F149EB">
        <w:rPr>
          <w:rFonts w:eastAsia="Times New Roman" w:cstheme="minorHAnsi"/>
        </w:rPr>
        <w:t xml:space="preserve">for submission to the IRB HSR. </w:t>
      </w:r>
    </w:p>
    <w:p w14:paraId="5081DE8F" w14:textId="12EFDB80" w:rsidR="00457CA7" w:rsidRPr="00F149EB" w:rsidRDefault="00457CA7" w:rsidP="00457CA7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49EB">
        <w:rPr>
          <w:rFonts w:eastAsia="Times New Roman" w:cstheme="minorHAnsi"/>
          <w:b/>
          <w:bCs/>
        </w:rPr>
        <w:t>All deletions and additions will be done within IRB PRO</w:t>
      </w:r>
      <w:r>
        <w:rPr>
          <w:rFonts w:eastAsia="Times New Roman" w:cstheme="minorHAnsi"/>
          <w:b/>
          <w:bCs/>
        </w:rPr>
        <w:t xml:space="preserve"> by the study team</w:t>
      </w:r>
      <w:r w:rsidRPr="00F149EB">
        <w:rPr>
          <w:rFonts w:eastAsia="Times New Roman" w:cstheme="minorHAnsi"/>
          <w:b/>
          <w:bCs/>
        </w:rPr>
        <w:t>.</w:t>
      </w:r>
      <w:r w:rsidRPr="00F149EB">
        <w:rPr>
          <w:rFonts w:eastAsia="Times New Roman" w:cstheme="minorHAnsi"/>
        </w:rPr>
        <w:t xml:space="preserve"> </w:t>
      </w:r>
    </w:p>
    <w:p w14:paraId="2143F6B5" w14:textId="77777777" w:rsidR="00457CA7" w:rsidRPr="00D30AF2" w:rsidRDefault="00457CA7" w:rsidP="00457CA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u w:val="single"/>
        </w:rPr>
      </w:pPr>
      <w:r w:rsidRPr="00D30AF2">
        <w:rPr>
          <w:rFonts w:eastAsia="Times New Roman" w:cstheme="minorHAnsi"/>
          <w:b/>
          <w:bCs/>
          <w:u w:val="single"/>
        </w:rPr>
        <w:t>Key Points:</w:t>
      </w:r>
    </w:p>
    <w:p w14:paraId="475C40AA" w14:textId="77777777" w:rsidR="00457CA7" w:rsidRPr="00F149EB" w:rsidRDefault="00457CA7" w:rsidP="00457CA7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149EB">
        <w:rPr>
          <w:rFonts w:eastAsia="Times New Roman" w:cstheme="minorHAnsi"/>
        </w:rPr>
        <w:t>The following position</w:t>
      </w:r>
      <w:r>
        <w:rPr>
          <w:rFonts w:eastAsia="Times New Roman" w:cstheme="minorHAnsi"/>
        </w:rPr>
        <w:t>s</w:t>
      </w:r>
      <w:r w:rsidRPr="00F149EB">
        <w:rPr>
          <w:rFonts w:eastAsia="Times New Roman" w:cstheme="minorHAnsi"/>
        </w:rPr>
        <w:t xml:space="preserve"> are </w:t>
      </w:r>
      <w:r>
        <w:rPr>
          <w:rFonts w:eastAsia="Times New Roman" w:cstheme="minorHAnsi"/>
        </w:rPr>
        <w:t>permitted in this Pro feature</w:t>
      </w:r>
      <w:r w:rsidRPr="00F149EB">
        <w:rPr>
          <w:rFonts w:eastAsia="Times New Roman" w:cstheme="minorHAnsi"/>
        </w:rPr>
        <w:t xml:space="preserve"> to modify user roles: </w:t>
      </w:r>
    </w:p>
    <w:p w14:paraId="39299B77" w14:textId="77777777" w:rsidR="00457CA7" w:rsidRPr="000D0C29" w:rsidRDefault="00457CA7" w:rsidP="00457C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Principal Investigator</w:t>
      </w:r>
    </w:p>
    <w:p w14:paraId="0C3DF8AE" w14:textId="77777777" w:rsidR="00457CA7" w:rsidRPr="000D0C29" w:rsidRDefault="00457CA7" w:rsidP="00457C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IRB Coordinator</w:t>
      </w:r>
    </w:p>
    <w:p w14:paraId="4079D386" w14:textId="77777777" w:rsidR="00457CA7" w:rsidRPr="000D0C29" w:rsidRDefault="00457CA7" w:rsidP="00457C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Study Coordinator I or II</w:t>
      </w:r>
    </w:p>
    <w:p w14:paraId="1CB48AE2" w14:textId="77777777" w:rsidR="00457CA7" w:rsidRDefault="00457CA7" w:rsidP="00457C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0D0C29">
        <w:rPr>
          <w:rFonts w:eastAsia="Times New Roman" w:cstheme="minorHAnsi"/>
        </w:rPr>
        <w:t>Additional Study Coordinators</w:t>
      </w:r>
    </w:p>
    <w:p w14:paraId="5540B35A" w14:textId="77777777" w:rsidR="00457CA7" w:rsidRPr="00F149EB" w:rsidRDefault="00457CA7" w:rsidP="00457CA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Sub investigators</w:t>
      </w:r>
    </w:p>
    <w:p w14:paraId="2E2D66D4" w14:textId="77777777" w:rsidR="00457CA7" w:rsidRDefault="00457CA7" w:rsidP="00457CA7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This feature may only be used for adding or deleting AFFILIATED UVA personnel.  </w:t>
      </w:r>
    </w:p>
    <w:p w14:paraId="1ECE9268" w14:textId="77777777" w:rsidR="00457CA7" w:rsidRDefault="00457CA7" w:rsidP="00457CA7">
      <w:pPr>
        <w:pStyle w:val="ListParagraph"/>
        <w:spacing w:after="0" w:line="240" w:lineRule="auto"/>
      </w:pPr>
    </w:p>
    <w:p w14:paraId="75D36CE1" w14:textId="77777777" w:rsidR="00457CA7" w:rsidRDefault="00457CA7" w:rsidP="00457CA7">
      <w:pPr>
        <w:pStyle w:val="ListParagraph"/>
        <w:numPr>
          <w:ilvl w:val="0"/>
          <w:numId w:val="32"/>
        </w:numPr>
        <w:spacing w:after="0" w:line="240" w:lineRule="auto"/>
      </w:pPr>
      <w:r w:rsidRPr="00D30AF2">
        <w:rPr>
          <w:b/>
          <w:bCs/>
        </w:rPr>
        <w:t>IMPORTANT:</w:t>
      </w:r>
      <w:r>
        <w:t xml:space="preserve"> If you are </w:t>
      </w:r>
      <w:r w:rsidRPr="00452C0F">
        <w:rPr>
          <w:u w:val="single"/>
        </w:rPr>
        <w:t>adding an unaffiliated investigator</w:t>
      </w:r>
      <w:r>
        <w:t xml:space="preserve"> to a study OR changing the UVA PI, you will be required to </w:t>
      </w:r>
      <w:r w:rsidRPr="00452C0F">
        <w:rPr>
          <w:u w:val="single"/>
        </w:rPr>
        <w:t>submit a modification to the IRB HSR via PRO</w:t>
      </w:r>
      <w:r>
        <w:t xml:space="preserve"> (Submit Documents). Detailed instructions for submission can be found on the Modification Request Form.</w:t>
      </w:r>
    </w:p>
    <w:p w14:paraId="4B04F06B" w14:textId="77777777" w:rsidR="00457CA7" w:rsidRDefault="00457CA7" w:rsidP="00457CA7">
      <w:pPr>
        <w:spacing w:after="0" w:line="240" w:lineRule="auto"/>
      </w:pPr>
    </w:p>
    <w:p w14:paraId="17881C4E" w14:textId="77777777" w:rsidR="00457CA7" w:rsidRDefault="00457CA7" w:rsidP="00457CA7">
      <w:pPr>
        <w:pStyle w:val="ListParagraph"/>
        <w:numPr>
          <w:ilvl w:val="0"/>
          <w:numId w:val="32"/>
        </w:numPr>
        <w:spacing w:after="0"/>
      </w:pPr>
      <w:r>
        <w:rPr>
          <w:rStyle w:val="Strong"/>
        </w:rPr>
        <w:t xml:space="preserve">Note: </w:t>
      </w:r>
      <w:r>
        <w:t xml:space="preserve">To ADD personnel, the BASIC IRB- HSR training MUST be up to date. You will not be allowed to add or change user roles if training has expired. </w:t>
      </w:r>
      <w:r w:rsidRPr="009C1DA9">
        <w:rPr>
          <w:highlight w:val="yellow"/>
        </w:rPr>
        <w:t>*ALSO SEE NEW GCP requirements</w:t>
      </w:r>
      <w:r>
        <w:rPr>
          <w:highlight w:val="yellow"/>
        </w:rPr>
        <w:t xml:space="preserve"> for Full Board Studies (p.2)</w:t>
      </w:r>
      <w:r w:rsidRPr="009C1DA9">
        <w:rPr>
          <w:highlight w:val="yellow"/>
        </w:rPr>
        <w:t>*</w:t>
      </w:r>
    </w:p>
    <w:p w14:paraId="5BB2913C" w14:textId="77777777" w:rsidR="00457CA7" w:rsidRDefault="00457CA7" w:rsidP="00457CA7">
      <w:pPr>
        <w:spacing w:after="0"/>
      </w:pPr>
    </w:p>
    <w:p w14:paraId="6C7A8DC6" w14:textId="77777777" w:rsidR="00457CA7" w:rsidRPr="00797D75" w:rsidRDefault="00457CA7" w:rsidP="00457CA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t xml:space="preserve">Each user can only be assigned to one position. </w:t>
      </w:r>
    </w:p>
    <w:p w14:paraId="349DE31C" w14:textId="77777777" w:rsidR="00457CA7" w:rsidRPr="00797D75" w:rsidRDefault="00457CA7" w:rsidP="00457CA7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281E7E84" w14:textId="77777777" w:rsidR="00457CA7" w:rsidRDefault="00457CA7" w:rsidP="00457CA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  <w:r>
        <w:rPr>
          <w:noProof/>
        </w:rPr>
        <w:drawing>
          <wp:inline distT="0" distB="0" distL="0" distR="0" wp14:anchorId="45A06166" wp14:editId="34C55541">
            <wp:extent cx="6858000" cy="1144905"/>
            <wp:effectExtent l="0" t="0" r="0" b="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86386" w14:textId="77777777" w:rsidR="00457CA7" w:rsidRPr="0016738B" w:rsidRDefault="00457CA7" w:rsidP="00457CA7">
      <w:pPr>
        <w:spacing w:after="0" w:line="240" w:lineRule="auto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</w:p>
    <w:p w14:paraId="523ECFCA" w14:textId="77777777" w:rsidR="00457CA7" w:rsidRPr="0016738B" w:rsidRDefault="00457CA7" w:rsidP="00457CA7">
      <w:pPr>
        <w:spacing w:after="0" w:line="240" w:lineRule="auto"/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</w:pPr>
      <w:r w:rsidRPr="0016738B">
        <w:rPr>
          <w:rFonts w:asciiTheme="minorHAnsi" w:hAnsiTheme="minorHAnsi" w:cstheme="minorHAnsi"/>
          <w:b/>
          <w:color w:val="333333"/>
          <w:sz w:val="28"/>
          <w:szCs w:val="28"/>
          <w:u w:val="single"/>
          <w:lang w:val="en"/>
        </w:rPr>
        <w:t>INSTRUCTIONS</w:t>
      </w:r>
    </w:p>
    <w:p w14:paraId="4EB6567E" w14:textId="77777777" w:rsidR="00457CA7" w:rsidRPr="00D30AF2" w:rsidRDefault="00457CA7" w:rsidP="00457CA7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4420FF02" w14:textId="77777777" w:rsidR="00457CA7" w:rsidRPr="00D30AF2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Click on Personnel Changes tab</w:t>
      </w:r>
    </w:p>
    <w:p w14:paraId="40E3C465" w14:textId="77777777" w:rsidR="00457CA7" w:rsidRPr="00D30AF2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A list of studies 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will </w:t>
      </w:r>
      <w:r w:rsidRPr="00D30AF2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appear</w:t>
      </w:r>
    </w:p>
    <w:p w14:paraId="7CF23A45" w14:textId="77777777" w:rsidR="00457CA7" w:rsidRPr="004D5C7E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4D5C7E">
        <w:rPr>
          <w:rFonts w:asciiTheme="minorHAnsi" w:hAnsiTheme="minorHAnsi" w:cstheme="minorHAnsi"/>
          <w:bCs/>
          <w:sz w:val="24"/>
          <w:szCs w:val="24"/>
          <w:lang w:val="en"/>
        </w:rPr>
        <w:t xml:space="preserve">Far right tab, under Personnel, </w:t>
      </w:r>
      <w:r w:rsidRPr="004D5C7E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 xml:space="preserve">click hyperlink </w:t>
      </w:r>
      <w:r w:rsidRPr="004D5C7E">
        <w:rPr>
          <w:rFonts w:asciiTheme="minorHAnsi" w:hAnsiTheme="minorHAnsi" w:cstheme="minorHAnsi"/>
          <w:b/>
          <w:color w:val="5B9BD5" w:themeColor="accent1"/>
          <w:sz w:val="24"/>
          <w:szCs w:val="24"/>
          <w:u w:val="single"/>
          <w:lang w:val="en"/>
        </w:rPr>
        <w:t>View/Edit</w:t>
      </w:r>
    </w:p>
    <w:p w14:paraId="73B25243" w14:textId="77777777" w:rsidR="00457CA7" w:rsidRDefault="00457CA7" w:rsidP="00457CA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1B0AD572" w14:textId="77777777" w:rsidR="00457CA7" w:rsidRDefault="00457CA7" w:rsidP="00457CA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  <w:r>
        <w:rPr>
          <w:noProof/>
        </w:rPr>
        <w:drawing>
          <wp:inline distT="0" distB="0" distL="0" distR="0" wp14:anchorId="1164783B" wp14:editId="56652C33">
            <wp:extent cx="6858000" cy="6210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B28B2" w14:textId="77777777" w:rsidR="00457CA7" w:rsidRDefault="00457CA7" w:rsidP="00457CA7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"/>
        </w:rPr>
      </w:pPr>
    </w:p>
    <w:p w14:paraId="0644E393" w14:textId="77777777" w:rsidR="00457CA7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 w:rsidRPr="00644D6B"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From this page, you will be able to ADD NEW PERSON, or REMOVE an existing person from the study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.</w:t>
      </w:r>
    </w:p>
    <w:p w14:paraId="1BDB26A4" w14:textId="77777777" w:rsidR="00457CA7" w:rsidRDefault="00457CA7" w:rsidP="00457CA7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025D8649" wp14:editId="58F54542">
            <wp:extent cx="6858000" cy="53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629CF" w14:textId="77777777" w:rsidR="00457CA7" w:rsidRDefault="00457CA7" w:rsidP="00457CA7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75EC7F0" w14:textId="77777777" w:rsidR="00457CA7" w:rsidRDefault="00457CA7" w:rsidP="00457CA7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noProof/>
        </w:rPr>
        <w:drawing>
          <wp:inline distT="0" distB="0" distL="0" distR="0" wp14:anchorId="546ECB4C" wp14:editId="040AE567">
            <wp:extent cx="4357315" cy="1219200"/>
            <wp:effectExtent l="0" t="0" r="5715" b="0"/>
            <wp:docPr id="12" name="Picture 1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iagram&#10;&#10;Description automatically generated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60807" cy="122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FE94" w14:textId="77777777" w:rsidR="00457CA7" w:rsidRDefault="00457CA7" w:rsidP="00457CA7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71BB5D0A" w14:textId="77777777" w:rsidR="00457CA7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>An event of a personnel change will NO LONGER be added in IRB online or IRB PRO.</w:t>
      </w:r>
    </w:p>
    <w:p w14:paraId="3BED2A57" w14:textId="77777777" w:rsidR="00457CA7" w:rsidRPr="004D5C7E" w:rsidRDefault="00457CA7" w:rsidP="00457CA7">
      <w:pPr>
        <w:spacing w:after="0" w:line="240" w:lineRule="auto"/>
        <w:ind w:left="360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147E200D" w14:textId="77777777" w:rsidR="00457CA7" w:rsidRPr="0016738B" w:rsidRDefault="00457CA7" w:rsidP="00457CA7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The </w:t>
      </w:r>
      <w:r w:rsidRPr="00452C0F">
        <w:rPr>
          <w:rFonts w:asciiTheme="minorHAnsi" w:hAnsiTheme="minorHAnsi" w:cstheme="minorHAnsi"/>
          <w:bCs/>
          <w:color w:val="333333"/>
          <w:sz w:val="24"/>
          <w:szCs w:val="24"/>
          <w:u w:val="single"/>
          <w:lang w:val="en"/>
        </w:rPr>
        <w:t>HISTORY tab</w:t>
      </w:r>
      <w:r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  <w:t xml:space="preserve"> will allow you to view when a person was removed, added and by whom. The history feature can serve as a running report to share with your sponsors as well. </w:t>
      </w:r>
    </w:p>
    <w:p w14:paraId="5BF72BDB" w14:textId="330CCD61" w:rsidR="00457CA7" w:rsidRDefault="00457CA7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p w14:paraId="0D2FBEDC" w14:textId="4A45F8FD" w:rsidR="008C2731" w:rsidRDefault="008C2731" w:rsidP="000C05A0">
      <w:pPr>
        <w:spacing w:after="0" w:line="240" w:lineRule="auto"/>
        <w:rPr>
          <w:rFonts w:asciiTheme="minorHAnsi" w:hAnsiTheme="minorHAnsi" w:cstheme="minorHAnsi"/>
          <w:bCs/>
          <w:color w:val="333333"/>
          <w:sz w:val="24"/>
          <w:szCs w:val="24"/>
          <w:lang w:val="en"/>
        </w:rPr>
      </w:pPr>
    </w:p>
    <w:bookmarkEnd w:id="0"/>
    <w:sectPr w:rsidR="008C2731" w:rsidSect="00F01304">
      <w:footerReference w:type="default" r:id="rId4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74B8" w14:textId="77777777" w:rsidR="00BF4565" w:rsidRDefault="00BF4565" w:rsidP="00BF4565">
      <w:pPr>
        <w:spacing w:after="0" w:line="240" w:lineRule="auto"/>
      </w:pPr>
      <w:r>
        <w:separator/>
      </w:r>
    </w:p>
  </w:endnote>
  <w:endnote w:type="continuationSeparator" w:id="0">
    <w:p w14:paraId="5770A9E5" w14:textId="77777777" w:rsidR="00BF4565" w:rsidRDefault="00BF4565" w:rsidP="00BF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324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515D5D" w14:textId="72939ACF" w:rsidR="00BF4565" w:rsidRDefault="00BF4565" w:rsidP="00B40FBA">
            <w:pPr>
              <w:pStyle w:val="Footer"/>
              <w:jc w:val="center"/>
            </w:pPr>
            <w:r w:rsidRPr="00C24E7B">
              <w:rPr>
                <w:sz w:val="20"/>
                <w:szCs w:val="20"/>
              </w:rPr>
              <w:t xml:space="preserve">Page </w:t>
            </w:r>
            <w:r w:rsidRPr="00C24E7B">
              <w:rPr>
                <w:sz w:val="20"/>
                <w:szCs w:val="20"/>
              </w:rPr>
              <w:fldChar w:fldCharType="begin"/>
            </w:r>
            <w:r w:rsidRPr="00C24E7B">
              <w:rPr>
                <w:sz w:val="20"/>
                <w:szCs w:val="20"/>
              </w:rPr>
              <w:instrText xml:space="preserve"> PAGE </w:instrText>
            </w:r>
            <w:r w:rsidRPr="00C24E7B">
              <w:rPr>
                <w:sz w:val="20"/>
                <w:szCs w:val="20"/>
              </w:rPr>
              <w:fldChar w:fldCharType="separate"/>
            </w:r>
            <w:r w:rsidRPr="00C24E7B">
              <w:rPr>
                <w:noProof/>
                <w:sz w:val="20"/>
                <w:szCs w:val="20"/>
              </w:rPr>
              <w:t>2</w:t>
            </w:r>
            <w:r w:rsidRPr="00C24E7B">
              <w:rPr>
                <w:sz w:val="20"/>
                <w:szCs w:val="20"/>
              </w:rPr>
              <w:fldChar w:fldCharType="end"/>
            </w:r>
            <w:r w:rsidRPr="00C24E7B">
              <w:rPr>
                <w:sz w:val="20"/>
                <w:szCs w:val="20"/>
              </w:rPr>
              <w:t xml:space="preserve"> of </w:t>
            </w:r>
            <w:r w:rsidRPr="00C24E7B">
              <w:rPr>
                <w:sz w:val="20"/>
                <w:szCs w:val="20"/>
              </w:rPr>
              <w:fldChar w:fldCharType="begin"/>
            </w:r>
            <w:r w:rsidRPr="00C24E7B">
              <w:rPr>
                <w:sz w:val="20"/>
                <w:szCs w:val="20"/>
              </w:rPr>
              <w:instrText xml:space="preserve"> NUMPAGES  </w:instrText>
            </w:r>
            <w:r w:rsidRPr="00C24E7B">
              <w:rPr>
                <w:sz w:val="20"/>
                <w:szCs w:val="20"/>
              </w:rPr>
              <w:fldChar w:fldCharType="separate"/>
            </w:r>
            <w:r w:rsidRPr="00C24E7B">
              <w:rPr>
                <w:noProof/>
                <w:sz w:val="20"/>
                <w:szCs w:val="20"/>
              </w:rPr>
              <w:t>2</w:t>
            </w:r>
            <w:r w:rsidRPr="00C24E7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47A82BF4" w14:textId="77777777" w:rsidR="00BF4565" w:rsidRDefault="00BF4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6D09F" w14:textId="77777777" w:rsidR="00BF4565" w:rsidRDefault="00BF4565" w:rsidP="00BF4565">
      <w:pPr>
        <w:spacing w:after="0" w:line="240" w:lineRule="auto"/>
      </w:pPr>
      <w:r>
        <w:separator/>
      </w:r>
    </w:p>
  </w:footnote>
  <w:footnote w:type="continuationSeparator" w:id="0">
    <w:p w14:paraId="2661AC12" w14:textId="77777777" w:rsidR="00BF4565" w:rsidRDefault="00BF4565" w:rsidP="00BF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50"/>
    <w:multiLevelType w:val="multilevel"/>
    <w:tmpl w:val="000008D3"/>
    <w:lvl w:ilvl="0">
      <w:start w:val="1"/>
      <w:numFmt w:val="lowerLetter"/>
      <w:lvlText w:val="(%1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start w:val="7"/>
      <w:numFmt w:val="lowerLetter"/>
      <w:lvlText w:val="(%2)"/>
      <w:lvlJc w:val="left"/>
      <w:pPr>
        <w:ind w:left="140" w:hanging="260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start w:val="1"/>
      <w:numFmt w:val="decimal"/>
      <w:lvlText w:val="(%3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3">
      <w:numFmt w:val="bullet"/>
      <w:lvlText w:val="•"/>
      <w:lvlJc w:val="left"/>
      <w:pPr>
        <w:ind w:left="560" w:hanging="270"/>
      </w:pPr>
    </w:lvl>
    <w:lvl w:ilvl="4">
      <w:numFmt w:val="bullet"/>
      <w:lvlText w:val="•"/>
      <w:lvlJc w:val="left"/>
      <w:pPr>
        <w:ind w:left="979" w:hanging="270"/>
      </w:pPr>
    </w:lvl>
    <w:lvl w:ilvl="5">
      <w:numFmt w:val="bullet"/>
      <w:lvlText w:val="•"/>
      <w:lvlJc w:val="left"/>
      <w:pPr>
        <w:ind w:left="1399" w:hanging="270"/>
      </w:pPr>
    </w:lvl>
    <w:lvl w:ilvl="6">
      <w:numFmt w:val="bullet"/>
      <w:lvlText w:val="•"/>
      <w:lvlJc w:val="left"/>
      <w:pPr>
        <w:ind w:left="1818" w:hanging="270"/>
      </w:pPr>
    </w:lvl>
    <w:lvl w:ilvl="7">
      <w:numFmt w:val="bullet"/>
      <w:lvlText w:val="•"/>
      <w:lvlJc w:val="left"/>
      <w:pPr>
        <w:ind w:left="2237" w:hanging="270"/>
      </w:pPr>
    </w:lvl>
    <w:lvl w:ilvl="8">
      <w:numFmt w:val="bullet"/>
      <w:lvlText w:val="•"/>
      <w:lvlJc w:val="left"/>
      <w:pPr>
        <w:ind w:left="2657" w:hanging="270"/>
      </w:pPr>
    </w:lvl>
  </w:abstractNum>
  <w:abstractNum w:abstractNumId="1" w15:restartNumberingAfterBreak="0">
    <w:nsid w:val="00000452"/>
    <w:multiLevelType w:val="multilevel"/>
    <w:tmpl w:val="000008D5"/>
    <w:lvl w:ilvl="0">
      <w:start w:val="2"/>
      <w:numFmt w:val="decimal"/>
      <w:lvlText w:val="(%1)"/>
      <w:lvlJc w:val="left"/>
      <w:pPr>
        <w:ind w:left="140" w:hanging="270"/>
      </w:pPr>
      <w:rPr>
        <w:rFonts w:ascii="Times New Roman" w:hAnsi="Times New Roman" w:cs="Times New Roman"/>
        <w:b w:val="0"/>
        <w:bCs w:val="0"/>
        <w:w w:val="104"/>
        <w:sz w:val="18"/>
        <w:szCs w:val="18"/>
      </w:rPr>
    </w:lvl>
    <w:lvl w:ilvl="1">
      <w:start w:val="1"/>
      <w:numFmt w:val="lowerRoman"/>
      <w:lvlText w:val="(%2)"/>
      <w:lvlJc w:val="left"/>
      <w:pPr>
        <w:ind w:left="141" w:hanging="230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2">
      <w:numFmt w:val="bullet"/>
      <w:lvlText w:val="•"/>
      <w:lvlJc w:val="left"/>
      <w:pPr>
        <w:ind w:left="529" w:hanging="230"/>
      </w:pPr>
    </w:lvl>
    <w:lvl w:ilvl="3">
      <w:numFmt w:val="bullet"/>
      <w:lvlText w:val="•"/>
      <w:lvlJc w:val="left"/>
      <w:pPr>
        <w:ind w:left="918" w:hanging="230"/>
      </w:pPr>
    </w:lvl>
    <w:lvl w:ilvl="4">
      <w:numFmt w:val="bullet"/>
      <w:lvlText w:val="•"/>
      <w:lvlJc w:val="left"/>
      <w:pPr>
        <w:ind w:left="1307" w:hanging="230"/>
      </w:pPr>
    </w:lvl>
    <w:lvl w:ilvl="5">
      <w:numFmt w:val="bullet"/>
      <w:lvlText w:val="•"/>
      <w:lvlJc w:val="left"/>
      <w:pPr>
        <w:ind w:left="1696" w:hanging="230"/>
      </w:pPr>
    </w:lvl>
    <w:lvl w:ilvl="6">
      <w:numFmt w:val="bullet"/>
      <w:lvlText w:val="•"/>
      <w:lvlJc w:val="left"/>
      <w:pPr>
        <w:ind w:left="2084" w:hanging="230"/>
      </w:pPr>
    </w:lvl>
    <w:lvl w:ilvl="7">
      <w:numFmt w:val="bullet"/>
      <w:lvlText w:val="•"/>
      <w:lvlJc w:val="left"/>
      <w:pPr>
        <w:ind w:left="2473" w:hanging="230"/>
      </w:pPr>
    </w:lvl>
    <w:lvl w:ilvl="8">
      <w:numFmt w:val="bullet"/>
      <w:lvlText w:val="•"/>
      <w:lvlJc w:val="left"/>
      <w:pPr>
        <w:ind w:left="2862" w:hanging="230"/>
      </w:pPr>
    </w:lvl>
  </w:abstractNum>
  <w:abstractNum w:abstractNumId="2" w15:restartNumberingAfterBreak="0">
    <w:nsid w:val="00F0386A"/>
    <w:multiLevelType w:val="hybridMultilevel"/>
    <w:tmpl w:val="191EF8E0"/>
    <w:lvl w:ilvl="0" w:tplc="46349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98C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3E4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6D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ED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0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3C1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AB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2BC10F5"/>
    <w:multiLevelType w:val="hybridMultilevel"/>
    <w:tmpl w:val="97DC4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6E5047"/>
    <w:multiLevelType w:val="hybridMultilevel"/>
    <w:tmpl w:val="DA6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549E"/>
    <w:multiLevelType w:val="hybridMultilevel"/>
    <w:tmpl w:val="0E18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B2B66"/>
    <w:multiLevelType w:val="hybridMultilevel"/>
    <w:tmpl w:val="9036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D3AAC"/>
    <w:multiLevelType w:val="hybridMultilevel"/>
    <w:tmpl w:val="51163594"/>
    <w:lvl w:ilvl="0" w:tplc="E99499A8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8" w15:restartNumberingAfterBreak="0">
    <w:nsid w:val="1B9D0880"/>
    <w:multiLevelType w:val="multilevel"/>
    <w:tmpl w:val="9F1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6040A"/>
    <w:multiLevelType w:val="hybridMultilevel"/>
    <w:tmpl w:val="FBAC93F2"/>
    <w:lvl w:ilvl="0" w:tplc="D9228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3CE4"/>
    <w:multiLevelType w:val="multilevel"/>
    <w:tmpl w:val="639A8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EA6EBD"/>
    <w:multiLevelType w:val="hybridMultilevel"/>
    <w:tmpl w:val="4C7C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D42D1"/>
    <w:multiLevelType w:val="hybridMultilevel"/>
    <w:tmpl w:val="319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40913"/>
    <w:multiLevelType w:val="hybridMultilevel"/>
    <w:tmpl w:val="81366270"/>
    <w:lvl w:ilvl="0" w:tplc="F968D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41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8D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2F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8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A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C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612C7F"/>
    <w:multiLevelType w:val="hybridMultilevel"/>
    <w:tmpl w:val="5EC410B8"/>
    <w:lvl w:ilvl="0" w:tplc="BC9AD97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F3009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822FB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29253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790C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7EAA2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624AB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90C08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64E1CF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 w15:restartNumberingAfterBreak="0">
    <w:nsid w:val="2CF9161B"/>
    <w:multiLevelType w:val="hybridMultilevel"/>
    <w:tmpl w:val="A004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2D86"/>
    <w:multiLevelType w:val="multilevel"/>
    <w:tmpl w:val="37B0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D46469"/>
    <w:multiLevelType w:val="hybridMultilevel"/>
    <w:tmpl w:val="AE1AA19C"/>
    <w:lvl w:ilvl="0" w:tplc="6EDC6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0D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A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47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8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A6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8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29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0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0D148E2"/>
    <w:multiLevelType w:val="hybridMultilevel"/>
    <w:tmpl w:val="43CC7DC6"/>
    <w:lvl w:ilvl="0" w:tplc="30EC3A12">
      <w:start w:val="116"/>
      <w:numFmt w:val="decimal"/>
      <w:lvlText w:val="%1"/>
      <w:lvlJc w:val="left"/>
      <w:pPr>
        <w:ind w:left="240" w:hanging="360"/>
      </w:pPr>
      <w:rPr>
        <w:rFonts w:ascii="Book Antiqua" w:hAnsi="Book Antiqua" w:cs="Book Antiqua" w:hint="default"/>
        <w:i/>
        <w:w w:val="115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42782766"/>
    <w:multiLevelType w:val="hybridMultilevel"/>
    <w:tmpl w:val="C29A39FC"/>
    <w:lvl w:ilvl="0" w:tplc="CE344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7303"/>
    <w:multiLevelType w:val="hybridMultilevel"/>
    <w:tmpl w:val="E362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66284"/>
    <w:multiLevelType w:val="hybridMultilevel"/>
    <w:tmpl w:val="7EE47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8A2010"/>
    <w:multiLevelType w:val="hybridMultilevel"/>
    <w:tmpl w:val="67C6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F130C"/>
    <w:multiLevelType w:val="hybridMultilevel"/>
    <w:tmpl w:val="AD9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A52C9"/>
    <w:multiLevelType w:val="hybridMultilevel"/>
    <w:tmpl w:val="8334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4106"/>
    <w:multiLevelType w:val="hybridMultilevel"/>
    <w:tmpl w:val="87E2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C72F3"/>
    <w:multiLevelType w:val="multilevel"/>
    <w:tmpl w:val="316C5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E3637F"/>
    <w:multiLevelType w:val="multilevel"/>
    <w:tmpl w:val="91CA8F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7466EC"/>
    <w:multiLevelType w:val="hybridMultilevel"/>
    <w:tmpl w:val="948AD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BC7753"/>
    <w:multiLevelType w:val="hybridMultilevel"/>
    <w:tmpl w:val="01D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182D72"/>
    <w:multiLevelType w:val="multilevel"/>
    <w:tmpl w:val="6C4E51FC"/>
    <w:lvl w:ilvl="0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entative="1"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entative="1">
      <w:numFmt w:val="lowerRoman"/>
      <w:lvlText w:val="%3."/>
      <w:lvlJc w:val="right"/>
      <w:pPr>
        <w:tabs>
          <w:tab w:val="num" w:pos="3240"/>
        </w:tabs>
        <w:ind w:left="3240" w:hanging="360"/>
      </w:pPr>
    </w:lvl>
    <w:lvl w:ilvl="3" w:tentative="1">
      <w:numFmt w:val="lowerRoman"/>
      <w:lvlText w:val="%4."/>
      <w:lvlJc w:val="right"/>
      <w:pPr>
        <w:tabs>
          <w:tab w:val="num" w:pos="3960"/>
        </w:tabs>
        <w:ind w:left="3960" w:hanging="360"/>
      </w:pPr>
    </w:lvl>
    <w:lvl w:ilvl="4" w:tentative="1">
      <w:numFmt w:val="lowerRoman"/>
      <w:lvlText w:val="%5."/>
      <w:lvlJc w:val="right"/>
      <w:pPr>
        <w:tabs>
          <w:tab w:val="num" w:pos="4680"/>
        </w:tabs>
        <w:ind w:left="4680" w:hanging="360"/>
      </w:pPr>
    </w:lvl>
    <w:lvl w:ilvl="5" w:tentative="1">
      <w:numFmt w:val="lowerRoman"/>
      <w:lvlText w:val="%6."/>
      <w:lvlJc w:val="right"/>
      <w:pPr>
        <w:tabs>
          <w:tab w:val="num" w:pos="5400"/>
        </w:tabs>
        <w:ind w:left="5400" w:hanging="360"/>
      </w:pPr>
    </w:lvl>
    <w:lvl w:ilvl="6" w:tentative="1">
      <w:numFmt w:val="lowerRoman"/>
      <w:lvlText w:val="%7."/>
      <w:lvlJc w:val="right"/>
      <w:pPr>
        <w:tabs>
          <w:tab w:val="num" w:pos="6120"/>
        </w:tabs>
        <w:ind w:left="6120" w:hanging="360"/>
      </w:pPr>
    </w:lvl>
    <w:lvl w:ilvl="7" w:tentative="1">
      <w:numFmt w:val="lowerRoman"/>
      <w:lvlText w:val="%8."/>
      <w:lvlJc w:val="right"/>
      <w:pPr>
        <w:tabs>
          <w:tab w:val="num" w:pos="6840"/>
        </w:tabs>
        <w:ind w:left="6840" w:hanging="360"/>
      </w:pPr>
    </w:lvl>
    <w:lvl w:ilvl="8" w:tentative="1">
      <w:numFmt w:val="lowerRoman"/>
      <w:lvlText w:val="%9."/>
      <w:lvlJc w:val="right"/>
      <w:pPr>
        <w:tabs>
          <w:tab w:val="num" w:pos="7560"/>
        </w:tabs>
        <w:ind w:left="7560" w:hanging="360"/>
      </w:pPr>
    </w:lvl>
  </w:abstractNum>
  <w:abstractNum w:abstractNumId="31" w15:restartNumberingAfterBreak="0">
    <w:nsid w:val="72A85D79"/>
    <w:multiLevelType w:val="hybridMultilevel"/>
    <w:tmpl w:val="5868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F426F"/>
    <w:multiLevelType w:val="hybridMultilevel"/>
    <w:tmpl w:val="D090A1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5010BE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C47A0270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FE0251E4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047A27AA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026EA0F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8794BC1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A6326D7C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92DCA1AE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33" w15:restartNumberingAfterBreak="0">
    <w:nsid w:val="766F43E6"/>
    <w:multiLevelType w:val="multilevel"/>
    <w:tmpl w:val="197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B22113"/>
    <w:multiLevelType w:val="hybridMultilevel"/>
    <w:tmpl w:val="D42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538066">
    <w:abstractNumId w:val="1"/>
  </w:num>
  <w:num w:numId="2" w16cid:durableId="635989644">
    <w:abstractNumId w:val="0"/>
  </w:num>
  <w:num w:numId="3" w16cid:durableId="451293548">
    <w:abstractNumId w:val="18"/>
  </w:num>
  <w:num w:numId="4" w16cid:durableId="1221019007">
    <w:abstractNumId w:val="5"/>
  </w:num>
  <w:num w:numId="5" w16cid:durableId="242686480">
    <w:abstractNumId w:val="22"/>
  </w:num>
  <w:num w:numId="6" w16cid:durableId="727151889">
    <w:abstractNumId w:val="11"/>
  </w:num>
  <w:num w:numId="7" w16cid:durableId="917206191">
    <w:abstractNumId w:val="24"/>
  </w:num>
  <w:num w:numId="8" w16cid:durableId="565070222">
    <w:abstractNumId w:val="23"/>
  </w:num>
  <w:num w:numId="9" w16cid:durableId="1662856045">
    <w:abstractNumId w:val="15"/>
  </w:num>
  <w:num w:numId="10" w16cid:durableId="139809457">
    <w:abstractNumId w:val="31"/>
  </w:num>
  <w:num w:numId="11" w16cid:durableId="6434325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24470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9604113">
    <w:abstractNumId w:val="16"/>
  </w:num>
  <w:num w:numId="14" w16cid:durableId="1112751732">
    <w:abstractNumId w:val="17"/>
  </w:num>
  <w:num w:numId="15" w16cid:durableId="1328708941">
    <w:abstractNumId w:val="7"/>
  </w:num>
  <w:num w:numId="16" w16cid:durableId="531041064">
    <w:abstractNumId w:val="6"/>
  </w:num>
  <w:num w:numId="17" w16cid:durableId="683822851">
    <w:abstractNumId w:val="32"/>
  </w:num>
  <w:num w:numId="18" w16cid:durableId="1711802941">
    <w:abstractNumId w:val="14"/>
  </w:num>
  <w:num w:numId="19" w16cid:durableId="1212380071">
    <w:abstractNumId w:val="29"/>
  </w:num>
  <w:num w:numId="20" w16cid:durableId="247809052">
    <w:abstractNumId w:val="12"/>
  </w:num>
  <w:num w:numId="21" w16cid:durableId="1303385068">
    <w:abstractNumId w:val="21"/>
  </w:num>
  <w:num w:numId="22" w16cid:durableId="1299335036">
    <w:abstractNumId w:val="3"/>
  </w:num>
  <w:num w:numId="23" w16cid:durableId="1772897620">
    <w:abstractNumId w:val="28"/>
  </w:num>
  <w:num w:numId="24" w16cid:durableId="13834021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5783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285082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27610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7765662">
    <w:abstractNumId w:val="20"/>
  </w:num>
  <w:num w:numId="29" w16cid:durableId="96873503">
    <w:abstractNumId w:val="34"/>
  </w:num>
  <w:num w:numId="30" w16cid:durableId="12908191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90567106">
    <w:abstractNumId w:val="30"/>
  </w:num>
  <w:num w:numId="32" w16cid:durableId="447508687">
    <w:abstractNumId w:val="9"/>
  </w:num>
  <w:num w:numId="33" w16cid:durableId="1826237188">
    <w:abstractNumId w:val="19"/>
  </w:num>
  <w:num w:numId="34" w16cid:durableId="771970555">
    <w:abstractNumId w:val="13"/>
  </w:num>
  <w:num w:numId="35" w16cid:durableId="876426306">
    <w:abstractNumId w:val="2"/>
  </w:num>
  <w:num w:numId="36" w16cid:durableId="1191920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0AF"/>
    <w:rsid w:val="00004AEA"/>
    <w:rsid w:val="00010685"/>
    <w:rsid w:val="00035EC6"/>
    <w:rsid w:val="00041B6B"/>
    <w:rsid w:val="00044AF5"/>
    <w:rsid w:val="00081B61"/>
    <w:rsid w:val="000855B1"/>
    <w:rsid w:val="00092803"/>
    <w:rsid w:val="00092CA9"/>
    <w:rsid w:val="000A2E8E"/>
    <w:rsid w:val="000C05A0"/>
    <w:rsid w:val="000C6248"/>
    <w:rsid w:val="000F434C"/>
    <w:rsid w:val="00104DCD"/>
    <w:rsid w:val="00121D0C"/>
    <w:rsid w:val="001314EC"/>
    <w:rsid w:val="001358AF"/>
    <w:rsid w:val="00146064"/>
    <w:rsid w:val="00150D0F"/>
    <w:rsid w:val="00151554"/>
    <w:rsid w:val="00161ACF"/>
    <w:rsid w:val="0016453D"/>
    <w:rsid w:val="0016738B"/>
    <w:rsid w:val="001741B3"/>
    <w:rsid w:val="00184D38"/>
    <w:rsid w:val="00187B21"/>
    <w:rsid w:val="001932F3"/>
    <w:rsid w:val="00195C16"/>
    <w:rsid w:val="001A0B43"/>
    <w:rsid w:val="001C5D03"/>
    <w:rsid w:val="001D5D8D"/>
    <w:rsid w:val="001E6806"/>
    <w:rsid w:val="001E6914"/>
    <w:rsid w:val="00203569"/>
    <w:rsid w:val="00220F6B"/>
    <w:rsid w:val="002338D5"/>
    <w:rsid w:val="002414C5"/>
    <w:rsid w:val="00290DE7"/>
    <w:rsid w:val="00291E8E"/>
    <w:rsid w:val="00294D8F"/>
    <w:rsid w:val="002A3438"/>
    <w:rsid w:val="002B21DD"/>
    <w:rsid w:val="002C3CC9"/>
    <w:rsid w:val="002E0A89"/>
    <w:rsid w:val="00307D04"/>
    <w:rsid w:val="00315616"/>
    <w:rsid w:val="00320D42"/>
    <w:rsid w:val="003617C4"/>
    <w:rsid w:val="003752C7"/>
    <w:rsid w:val="00380523"/>
    <w:rsid w:val="003933E1"/>
    <w:rsid w:val="0039346B"/>
    <w:rsid w:val="003B39CA"/>
    <w:rsid w:val="003F23A4"/>
    <w:rsid w:val="00421544"/>
    <w:rsid w:val="0043510A"/>
    <w:rsid w:val="00452C0F"/>
    <w:rsid w:val="00457CA7"/>
    <w:rsid w:val="00463CC3"/>
    <w:rsid w:val="00473F15"/>
    <w:rsid w:val="00476B17"/>
    <w:rsid w:val="004845FE"/>
    <w:rsid w:val="004D39E1"/>
    <w:rsid w:val="004D3C50"/>
    <w:rsid w:val="004D5C7E"/>
    <w:rsid w:val="004F7586"/>
    <w:rsid w:val="005010A5"/>
    <w:rsid w:val="0050237D"/>
    <w:rsid w:val="00504524"/>
    <w:rsid w:val="00504739"/>
    <w:rsid w:val="00523AAB"/>
    <w:rsid w:val="00531020"/>
    <w:rsid w:val="00595B8D"/>
    <w:rsid w:val="00596374"/>
    <w:rsid w:val="00597E77"/>
    <w:rsid w:val="005A39BB"/>
    <w:rsid w:val="005A5E5B"/>
    <w:rsid w:val="005C59E2"/>
    <w:rsid w:val="005D7309"/>
    <w:rsid w:val="005D75DF"/>
    <w:rsid w:val="005E48F9"/>
    <w:rsid w:val="005E505C"/>
    <w:rsid w:val="006240AF"/>
    <w:rsid w:val="00636CF3"/>
    <w:rsid w:val="0064470C"/>
    <w:rsid w:val="00644D6B"/>
    <w:rsid w:val="00657A70"/>
    <w:rsid w:val="00660DEA"/>
    <w:rsid w:val="00660E18"/>
    <w:rsid w:val="00695BB7"/>
    <w:rsid w:val="006A33D6"/>
    <w:rsid w:val="006A4AFF"/>
    <w:rsid w:val="006C5D5B"/>
    <w:rsid w:val="006D7687"/>
    <w:rsid w:val="00712C35"/>
    <w:rsid w:val="007509FA"/>
    <w:rsid w:val="007638EB"/>
    <w:rsid w:val="007750E9"/>
    <w:rsid w:val="00780C8E"/>
    <w:rsid w:val="00797D75"/>
    <w:rsid w:val="007E0F04"/>
    <w:rsid w:val="00835D21"/>
    <w:rsid w:val="0085425D"/>
    <w:rsid w:val="008A4892"/>
    <w:rsid w:val="008A5761"/>
    <w:rsid w:val="008C2731"/>
    <w:rsid w:val="008C5A4F"/>
    <w:rsid w:val="008E6A03"/>
    <w:rsid w:val="00905817"/>
    <w:rsid w:val="00923C08"/>
    <w:rsid w:val="00932122"/>
    <w:rsid w:val="0097747A"/>
    <w:rsid w:val="00990128"/>
    <w:rsid w:val="009C1DA9"/>
    <w:rsid w:val="009C6527"/>
    <w:rsid w:val="009D1A78"/>
    <w:rsid w:val="009D571C"/>
    <w:rsid w:val="00A03697"/>
    <w:rsid w:val="00A148E1"/>
    <w:rsid w:val="00A22ABA"/>
    <w:rsid w:val="00A234E4"/>
    <w:rsid w:val="00A65177"/>
    <w:rsid w:val="00A65BD5"/>
    <w:rsid w:val="00A95072"/>
    <w:rsid w:val="00AA6FA6"/>
    <w:rsid w:val="00AB72A3"/>
    <w:rsid w:val="00AE0797"/>
    <w:rsid w:val="00AE3F2D"/>
    <w:rsid w:val="00AF556A"/>
    <w:rsid w:val="00B145B4"/>
    <w:rsid w:val="00B40FBA"/>
    <w:rsid w:val="00B66D6A"/>
    <w:rsid w:val="00B71E90"/>
    <w:rsid w:val="00B75348"/>
    <w:rsid w:val="00BA1A60"/>
    <w:rsid w:val="00BB7BD5"/>
    <w:rsid w:val="00BC0079"/>
    <w:rsid w:val="00BC3401"/>
    <w:rsid w:val="00BC5B39"/>
    <w:rsid w:val="00BF4565"/>
    <w:rsid w:val="00BF4708"/>
    <w:rsid w:val="00BF6043"/>
    <w:rsid w:val="00C24E7B"/>
    <w:rsid w:val="00C510A5"/>
    <w:rsid w:val="00C55A32"/>
    <w:rsid w:val="00C63D2E"/>
    <w:rsid w:val="00C6577C"/>
    <w:rsid w:val="00C87B14"/>
    <w:rsid w:val="00CA5698"/>
    <w:rsid w:val="00CB3CBC"/>
    <w:rsid w:val="00CB5345"/>
    <w:rsid w:val="00CC1264"/>
    <w:rsid w:val="00CC6156"/>
    <w:rsid w:val="00CE2676"/>
    <w:rsid w:val="00CF075F"/>
    <w:rsid w:val="00D135C7"/>
    <w:rsid w:val="00D15167"/>
    <w:rsid w:val="00D27473"/>
    <w:rsid w:val="00D275F3"/>
    <w:rsid w:val="00D30AF2"/>
    <w:rsid w:val="00D5081C"/>
    <w:rsid w:val="00D9387F"/>
    <w:rsid w:val="00DC73FB"/>
    <w:rsid w:val="00DC7970"/>
    <w:rsid w:val="00DF7990"/>
    <w:rsid w:val="00E1620E"/>
    <w:rsid w:val="00E52EF4"/>
    <w:rsid w:val="00E62E0D"/>
    <w:rsid w:val="00EA07F4"/>
    <w:rsid w:val="00EA634B"/>
    <w:rsid w:val="00EB1016"/>
    <w:rsid w:val="00ED5203"/>
    <w:rsid w:val="00EF26D6"/>
    <w:rsid w:val="00F01304"/>
    <w:rsid w:val="00F06CCA"/>
    <w:rsid w:val="00F15D9F"/>
    <w:rsid w:val="00F240AD"/>
    <w:rsid w:val="00F348AB"/>
    <w:rsid w:val="00F575FC"/>
    <w:rsid w:val="00F60F58"/>
    <w:rsid w:val="00F75EF9"/>
    <w:rsid w:val="00F77CC8"/>
    <w:rsid w:val="00F91EB7"/>
    <w:rsid w:val="00F972C9"/>
    <w:rsid w:val="00FA221D"/>
    <w:rsid w:val="00FA4EA2"/>
    <w:rsid w:val="00FA6B1F"/>
    <w:rsid w:val="00FB79AB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6198"/>
  <w15:chartTrackingRefBased/>
  <w15:docId w15:val="{829A23F8-1606-4629-9531-88634502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523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7F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07F4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7F4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C510A5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510A5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0356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A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AAB"/>
    <w:rPr>
      <w:rFonts w:ascii="Calibri" w:hAnsi="Calibri" w:cs="Calibr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2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697"/>
    <w:rPr>
      <w:color w:val="954F72" w:themeColor="followedHyperlink"/>
      <w:u w:val="single"/>
    </w:rPr>
  </w:style>
  <w:style w:type="paragraph" w:customStyle="1" w:styleId="Normal59">
    <w:name w:val="Normal_59"/>
    <w:qFormat/>
    <w:rsid w:val="00A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04D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B53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gkelc">
    <w:name w:val="hgkelc"/>
    <w:basedOn w:val="DefaultParagraphFont"/>
    <w:rsid w:val="00FA221D"/>
  </w:style>
  <w:style w:type="character" w:customStyle="1" w:styleId="markedcontent">
    <w:name w:val="markedcontent"/>
    <w:basedOn w:val="DefaultParagraphFont"/>
    <w:rsid w:val="00DC7970"/>
  </w:style>
  <w:style w:type="paragraph" w:styleId="Header">
    <w:name w:val="header"/>
    <w:basedOn w:val="Normal"/>
    <w:link w:val="HeaderChar"/>
    <w:uiPriority w:val="99"/>
    <w:unhideWhenUsed/>
    <w:rsid w:val="00B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56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F4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565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3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7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57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da.gov/media/75414/download" TargetMode="External"/><Relationship Id="rId18" Type="http://schemas.openxmlformats.org/officeDocument/2006/relationships/hyperlink" Target="https://research.virginia.edu/irb-hsr/irb-pro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5.png"/><Relationship Id="rId21" Type="http://schemas.openxmlformats.org/officeDocument/2006/relationships/hyperlink" Target="mailto:I" TargetMode="External"/><Relationship Id="rId34" Type="http://schemas.openxmlformats.org/officeDocument/2006/relationships/image" Target="media/image11.png"/><Relationship Id="rId42" Type="http://schemas.openxmlformats.org/officeDocument/2006/relationships/theme" Target="theme/theme1.xml"/><Relationship Id="rId7" Type="http://schemas.openxmlformats.org/officeDocument/2006/relationships/hyperlink" Target="https://www.fda.gov/media/116850/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cessdata.fda.gov/scripts/cdrh/cfdocs/cfcfr/cfrsearch.cfm?fr=50.3" TargetMode="External"/><Relationship Id="rId20" Type="http://schemas.openxmlformats.org/officeDocument/2006/relationships/hyperlink" Target="https://research.virginia.edu/irb-hsr/staff-directory-0" TargetMode="External"/><Relationship Id="rId29" Type="http://schemas.openxmlformats.org/officeDocument/2006/relationships/image" Target="media/image6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media/116850/download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9.png"/><Relationship Id="rId37" Type="http://schemas.openxmlformats.org/officeDocument/2006/relationships/image" Target="media/image13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rants.nih.gov/policy/humansubjects/research.htm" TargetMode="External"/><Relationship Id="rId23" Type="http://schemas.openxmlformats.org/officeDocument/2006/relationships/hyperlink" Target="https://research.virginia.edu/irb-hsr/IRBHSR@virginia.edu" TargetMode="External"/><Relationship Id="rId28" Type="http://schemas.openxmlformats.org/officeDocument/2006/relationships/hyperlink" Target="https://hrpp.irb.virginia.edu/irbpro/index.cfm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s://hrpp.irb.virginia.edu/learningshots/Use-of-Electronic-Informed-Consent/presentation_html5.html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redcapsurvey.healthsystem.virginia.edu/surveys/?s=EAFEDMEEFD" TargetMode="External"/><Relationship Id="rId22" Type="http://schemas.openxmlformats.org/officeDocument/2006/relationships/hyperlink" Target="https://research.virginia.edu/irb-hsr/IRBHSR@virginia.edu" TargetMode="External"/><Relationship Id="rId27" Type="http://schemas.openxmlformats.org/officeDocument/2006/relationships/image" Target="cid:image001.jpg@01D88556.95DA4120" TargetMode="External"/><Relationship Id="rId30" Type="http://schemas.openxmlformats.org/officeDocument/2006/relationships/image" Target="media/image7.png"/><Relationship Id="rId35" Type="http://schemas.openxmlformats.org/officeDocument/2006/relationships/hyperlink" Target="https://hrpp.irb.virginia.edu/irbpro/index.cfm" TargetMode="External"/><Relationship Id="rId8" Type="http://schemas.openxmlformats.org/officeDocument/2006/relationships/hyperlink" Target="https://research.virginia.edu/irb-hsr/informed-cons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da.gov/media/105557/download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research.virginia.edu/human-research-protection-program/hrpp-citi-training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Sembrowich, Eileen (ecs3b)</cp:lastModifiedBy>
  <cp:revision>12</cp:revision>
  <cp:lastPrinted>2019-04-29T20:02:00Z</cp:lastPrinted>
  <dcterms:created xsi:type="dcterms:W3CDTF">2022-12-05T12:22:00Z</dcterms:created>
  <dcterms:modified xsi:type="dcterms:W3CDTF">2023-01-17T14:05:00Z</dcterms:modified>
</cp:coreProperties>
</file>