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8E" w:rsidRDefault="00654A8E">
      <w:pPr>
        <w:pStyle w:val="BodyText"/>
        <w:rPr>
          <w:b/>
          <w:sz w:val="22"/>
        </w:rPr>
      </w:pPr>
      <w:r>
        <w:rPr>
          <w:b/>
          <w:sz w:val="22"/>
        </w:rPr>
        <w:t>OBJECTIVE</w:t>
      </w:r>
    </w:p>
    <w:p w:rsidR="00654A8E" w:rsidRDefault="00654A8E">
      <w:pPr>
        <w:pStyle w:val="BodyText"/>
        <w:rPr>
          <w:sz w:val="22"/>
        </w:rPr>
      </w:pPr>
      <w:r>
        <w:rPr>
          <w:sz w:val="22"/>
        </w:rPr>
        <w:t>To define the pu</w:t>
      </w:r>
      <w:r w:rsidR="00B11915">
        <w:rPr>
          <w:sz w:val="22"/>
        </w:rPr>
        <w:t xml:space="preserve">rpose and function of the </w:t>
      </w:r>
      <w:r w:rsidR="005852CB">
        <w:rPr>
          <w:sz w:val="22"/>
        </w:rPr>
        <w:t>IRB PAM Advisory Committee</w:t>
      </w:r>
      <w:r w:rsidR="006032C0">
        <w:rPr>
          <w:sz w:val="22"/>
        </w:rPr>
        <w:t>.</w:t>
      </w:r>
    </w:p>
    <w:p w:rsidR="00654A8E" w:rsidRDefault="00654A8E">
      <w:pPr>
        <w:pStyle w:val="BodyText"/>
        <w:rPr>
          <w:b/>
          <w:sz w:val="22"/>
        </w:rPr>
      </w:pPr>
    </w:p>
    <w:p w:rsidR="00654A8E" w:rsidRDefault="00654A8E">
      <w:pPr>
        <w:pStyle w:val="BodyText"/>
        <w:rPr>
          <w:b/>
          <w:sz w:val="22"/>
        </w:rPr>
      </w:pPr>
      <w:r>
        <w:rPr>
          <w:b/>
          <w:sz w:val="22"/>
        </w:rPr>
        <w:t xml:space="preserve">RESPONSIBILITY </w:t>
      </w:r>
    </w:p>
    <w:p w:rsidR="00654A8E" w:rsidRDefault="00B11915">
      <w:pPr>
        <w:pStyle w:val="BodyText"/>
        <w:rPr>
          <w:sz w:val="22"/>
        </w:rPr>
      </w:pPr>
      <w:r>
        <w:rPr>
          <w:sz w:val="22"/>
        </w:rPr>
        <w:t xml:space="preserve">The </w:t>
      </w:r>
      <w:r w:rsidR="005852CB">
        <w:rPr>
          <w:sz w:val="22"/>
        </w:rPr>
        <w:t>IRB PAM Advisory Committee</w:t>
      </w:r>
      <w:r w:rsidR="00654A8E">
        <w:rPr>
          <w:sz w:val="22"/>
        </w:rPr>
        <w:t xml:space="preserve"> </w:t>
      </w:r>
      <w:r>
        <w:rPr>
          <w:sz w:val="22"/>
        </w:rPr>
        <w:t xml:space="preserve">membership </w:t>
      </w:r>
      <w:r w:rsidR="00BD74E4">
        <w:rPr>
          <w:sz w:val="22"/>
        </w:rPr>
        <w:t xml:space="preserve">may </w:t>
      </w:r>
      <w:r>
        <w:rPr>
          <w:sz w:val="22"/>
        </w:rPr>
        <w:t>consist of</w:t>
      </w:r>
      <w:r w:rsidR="00654A8E">
        <w:rPr>
          <w:sz w:val="22"/>
        </w:rPr>
        <w:t>:</w:t>
      </w:r>
    </w:p>
    <w:p w:rsidR="00654A8E" w:rsidRDefault="00CC5703" w:rsidP="00B11915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Research Compliance</w:t>
      </w:r>
      <w:r w:rsidR="006F177F">
        <w:rPr>
          <w:sz w:val="22"/>
        </w:rPr>
        <w:t xml:space="preserve"> Monitors</w:t>
      </w:r>
      <w:r w:rsidR="00701965">
        <w:rPr>
          <w:sz w:val="22"/>
        </w:rPr>
        <w:t xml:space="preserve"> (2)</w:t>
      </w:r>
    </w:p>
    <w:p w:rsidR="00654A8E" w:rsidRDefault="005852CB" w:rsidP="00B11915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IRB Chair</w:t>
      </w:r>
    </w:p>
    <w:p w:rsidR="005852CB" w:rsidRDefault="005852CB" w:rsidP="00B11915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IRB Vice-Chair</w:t>
      </w:r>
    </w:p>
    <w:p w:rsidR="005852CB" w:rsidRDefault="005852CB" w:rsidP="00B11915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IRB Director and IRB Compliance Coordinator</w:t>
      </w:r>
    </w:p>
    <w:p w:rsidR="005852CB" w:rsidRDefault="00BD74E4" w:rsidP="00B11915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IRB member</w:t>
      </w:r>
      <w:r w:rsidR="00701965">
        <w:rPr>
          <w:sz w:val="22"/>
        </w:rPr>
        <w:t>(s)</w:t>
      </w:r>
      <w:r>
        <w:rPr>
          <w:sz w:val="22"/>
        </w:rPr>
        <w:t xml:space="preserve"> non-scientist/unaffiliated</w:t>
      </w:r>
      <w:r w:rsidR="007505AD">
        <w:rPr>
          <w:sz w:val="22"/>
        </w:rPr>
        <w:t xml:space="preserve"> (community member)</w:t>
      </w:r>
    </w:p>
    <w:p w:rsidR="00BD74E4" w:rsidRDefault="00BD74E4" w:rsidP="00B11915">
      <w:pPr>
        <w:pStyle w:val="BodyText"/>
        <w:numPr>
          <w:ilvl w:val="0"/>
          <w:numId w:val="19"/>
        </w:numPr>
        <w:rPr>
          <w:sz w:val="22"/>
        </w:rPr>
      </w:pPr>
      <w:r>
        <w:rPr>
          <w:sz w:val="22"/>
        </w:rPr>
        <w:t>IRB member Study Coordinator</w:t>
      </w:r>
    </w:p>
    <w:p w:rsidR="007505AD" w:rsidRDefault="007505AD" w:rsidP="00E256B9">
      <w:pPr>
        <w:pStyle w:val="BodyText"/>
        <w:rPr>
          <w:sz w:val="22"/>
        </w:rPr>
      </w:pPr>
    </w:p>
    <w:p w:rsidR="007505AD" w:rsidRDefault="007505AD" w:rsidP="00E256B9">
      <w:pPr>
        <w:pStyle w:val="BodyText"/>
        <w:rPr>
          <w:sz w:val="22"/>
        </w:rPr>
      </w:pPr>
      <w:r>
        <w:rPr>
          <w:sz w:val="22"/>
        </w:rPr>
        <w:t xml:space="preserve">Note: </w:t>
      </w:r>
      <w:r w:rsidR="00701965">
        <w:rPr>
          <w:sz w:val="22"/>
        </w:rPr>
        <w:t xml:space="preserve">the composition of the committee and required members for attendance at the meetings may vary. If possible, the meeting attendance will consist of (at least): </w:t>
      </w:r>
      <w:proofErr w:type="gramStart"/>
      <w:r w:rsidR="00701965">
        <w:rPr>
          <w:sz w:val="22"/>
        </w:rPr>
        <w:t>1</w:t>
      </w:r>
      <w:proofErr w:type="gramEnd"/>
      <w:r w:rsidR="00701965">
        <w:rPr>
          <w:sz w:val="22"/>
        </w:rPr>
        <w:t xml:space="preserve"> Research Compliance Monitor, IRB Chair or Vice-Chair, IRB Director or IRB Compliance Coordinator, IRB community member or IRB member Study Coordinator. </w:t>
      </w:r>
    </w:p>
    <w:p w:rsidR="00654A8E" w:rsidRDefault="00654A8E">
      <w:pPr>
        <w:pStyle w:val="BodyText"/>
        <w:rPr>
          <w:sz w:val="22"/>
        </w:rPr>
      </w:pPr>
    </w:p>
    <w:p w:rsidR="00654A8E" w:rsidRDefault="00654A8E">
      <w:pPr>
        <w:pStyle w:val="BodyText"/>
        <w:rPr>
          <w:sz w:val="22"/>
        </w:rPr>
      </w:pPr>
    </w:p>
    <w:p w:rsidR="00654A8E" w:rsidRDefault="00654A8E">
      <w:pPr>
        <w:pStyle w:val="BodyText"/>
        <w:rPr>
          <w:b/>
          <w:sz w:val="22"/>
        </w:rPr>
      </w:pPr>
      <w:r>
        <w:rPr>
          <w:b/>
          <w:sz w:val="22"/>
        </w:rPr>
        <w:t>PROCEDURE:</w:t>
      </w:r>
    </w:p>
    <w:p w:rsidR="00654A8E" w:rsidRDefault="00654A8E">
      <w:pPr>
        <w:pStyle w:val="BodyText"/>
        <w:rPr>
          <w:b/>
          <w:sz w:val="22"/>
        </w:rPr>
      </w:pPr>
    </w:p>
    <w:p w:rsidR="00BD74E4" w:rsidRDefault="00654A8E" w:rsidP="00B11915">
      <w:pPr>
        <w:pStyle w:val="BodyText"/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 xml:space="preserve">The </w:t>
      </w:r>
      <w:r w:rsidR="00BD74E4">
        <w:rPr>
          <w:bCs/>
          <w:sz w:val="22"/>
        </w:rPr>
        <w:t>IRB PAM Advisory Committee</w:t>
      </w:r>
      <w:r>
        <w:rPr>
          <w:bCs/>
          <w:sz w:val="22"/>
        </w:rPr>
        <w:t xml:space="preserve"> will meet </w:t>
      </w:r>
      <w:r w:rsidR="007505AD">
        <w:rPr>
          <w:bCs/>
          <w:sz w:val="22"/>
        </w:rPr>
        <w:t>on the 4</w:t>
      </w:r>
      <w:r w:rsidR="007505AD" w:rsidRPr="00E256B9">
        <w:rPr>
          <w:bCs/>
          <w:sz w:val="22"/>
          <w:vertAlign w:val="superscript"/>
        </w:rPr>
        <w:t>th</w:t>
      </w:r>
      <w:r w:rsidR="007505AD">
        <w:rPr>
          <w:bCs/>
          <w:sz w:val="22"/>
        </w:rPr>
        <w:t xml:space="preserve"> Tuesday of every month </w:t>
      </w:r>
      <w:r w:rsidR="00BD74E4">
        <w:rPr>
          <w:bCs/>
          <w:sz w:val="22"/>
        </w:rPr>
        <w:t>following the</w:t>
      </w:r>
      <w:r w:rsidR="007505AD">
        <w:rPr>
          <w:bCs/>
          <w:sz w:val="22"/>
        </w:rPr>
        <w:t xml:space="preserve"> </w:t>
      </w:r>
      <w:r w:rsidR="00BD74E4">
        <w:rPr>
          <w:bCs/>
          <w:sz w:val="22"/>
        </w:rPr>
        <w:t>IRB-HSR #</w:t>
      </w:r>
      <w:r w:rsidR="00701965">
        <w:rPr>
          <w:bCs/>
          <w:sz w:val="22"/>
        </w:rPr>
        <w:t>1</w:t>
      </w:r>
      <w:r w:rsidR="0070670F">
        <w:rPr>
          <w:bCs/>
          <w:sz w:val="22"/>
        </w:rPr>
        <w:t xml:space="preserve"> meeting</w:t>
      </w:r>
      <w:r w:rsidR="00701965">
        <w:rPr>
          <w:bCs/>
          <w:sz w:val="22"/>
        </w:rPr>
        <w:t xml:space="preserve">. Alternate meeting times for the committee </w:t>
      </w:r>
      <w:proofErr w:type="gramStart"/>
      <w:r w:rsidR="00701965">
        <w:rPr>
          <w:bCs/>
          <w:sz w:val="22"/>
        </w:rPr>
        <w:t>may be scheduled</w:t>
      </w:r>
      <w:proofErr w:type="gramEnd"/>
      <w:r w:rsidR="00701965">
        <w:rPr>
          <w:bCs/>
          <w:sz w:val="22"/>
        </w:rPr>
        <w:t xml:space="preserve"> if </w:t>
      </w:r>
      <w:r w:rsidR="0070670F">
        <w:rPr>
          <w:bCs/>
          <w:sz w:val="22"/>
        </w:rPr>
        <w:t>most</w:t>
      </w:r>
      <w:r w:rsidR="00701965">
        <w:rPr>
          <w:bCs/>
          <w:sz w:val="22"/>
        </w:rPr>
        <w:t xml:space="preserve"> of the members are able to attend the revised date. The committee </w:t>
      </w:r>
      <w:r w:rsidR="002C40DB">
        <w:rPr>
          <w:bCs/>
          <w:sz w:val="22"/>
        </w:rPr>
        <w:t>will review all PAM and education reports conducted the previous month, as well as the minutes from the applicable PAM Working Group meeting.</w:t>
      </w:r>
    </w:p>
    <w:p w:rsidR="002C40DB" w:rsidRDefault="002C40DB" w:rsidP="00E256B9">
      <w:pPr>
        <w:pStyle w:val="BodyText"/>
        <w:rPr>
          <w:bCs/>
          <w:sz w:val="22"/>
        </w:rPr>
      </w:pPr>
    </w:p>
    <w:p w:rsidR="00654A8E" w:rsidRDefault="002C40DB" w:rsidP="00E256B9">
      <w:pPr>
        <w:pStyle w:val="BodyText"/>
        <w:ind w:left="720"/>
        <w:rPr>
          <w:bCs/>
          <w:sz w:val="22"/>
        </w:rPr>
      </w:pPr>
      <w:r>
        <w:rPr>
          <w:bCs/>
          <w:sz w:val="22"/>
        </w:rPr>
        <w:t>The Research Compliance Monitors will be responsible for creating the reports and meeting agenda submitted to the committee for review.</w:t>
      </w:r>
    </w:p>
    <w:p w:rsidR="00654A8E" w:rsidRDefault="00654A8E">
      <w:pPr>
        <w:pStyle w:val="BodyText"/>
        <w:rPr>
          <w:bCs/>
          <w:sz w:val="22"/>
        </w:rPr>
      </w:pPr>
    </w:p>
    <w:p w:rsidR="00B11915" w:rsidRDefault="00654A8E" w:rsidP="00B11915">
      <w:pPr>
        <w:pStyle w:val="BodyText"/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 xml:space="preserve">The </w:t>
      </w:r>
      <w:r w:rsidR="002C40DB">
        <w:rPr>
          <w:bCs/>
          <w:sz w:val="22"/>
        </w:rPr>
        <w:t>committee</w:t>
      </w:r>
      <w:r>
        <w:rPr>
          <w:bCs/>
          <w:sz w:val="22"/>
        </w:rPr>
        <w:t xml:space="preserve"> will review each report</w:t>
      </w:r>
      <w:r w:rsidR="00696D00">
        <w:rPr>
          <w:bCs/>
          <w:sz w:val="22"/>
        </w:rPr>
        <w:t xml:space="preserve"> considering the following:</w:t>
      </w:r>
      <w:r>
        <w:rPr>
          <w:bCs/>
          <w:sz w:val="22"/>
        </w:rPr>
        <w:t xml:space="preserve">   </w:t>
      </w:r>
    </w:p>
    <w:p w:rsidR="00B11915" w:rsidRDefault="00B11915" w:rsidP="00B11915">
      <w:pPr>
        <w:pStyle w:val="BodyText"/>
        <w:rPr>
          <w:bCs/>
          <w:sz w:val="22"/>
        </w:rPr>
      </w:pPr>
    </w:p>
    <w:p w:rsidR="00B11915" w:rsidRDefault="00B11915" w:rsidP="00B11915">
      <w:pPr>
        <w:pStyle w:val="BodyText"/>
        <w:numPr>
          <w:ilvl w:val="1"/>
          <w:numId w:val="16"/>
        </w:numPr>
        <w:rPr>
          <w:bCs/>
          <w:sz w:val="22"/>
        </w:rPr>
      </w:pPr>
      <w:r>
        <w:rPr>
          <w:bCs/>
          <w:sz w:val="22"/>
        </w:rPr>
        <w:t>Additional recommendations and/or educational needs</w:t>
      </w:r>
      <w:r w:rsidR="001B4ECB">
        <w:rPr>
          <w:bCs/>
          <w:sz w:val="22"/>
        </w:rPr>
        <w:t>.</w:t>
      </w:r>
    </w:p>
    <w:p w:rsidR="00B11915" w:rsidRDefault="00B11915" w:rsidP="00B11915">
      <w:pPr>
        <w:pStyle w:val="BodyText"/>
        <w:numPr>
          <w:ilvl w:val="1"/>
          <w:numId w:val="16"/>
        </w:numPr>
        <w:rPr>
          <w:bCs/>
          <w:sz w:val="22"/>
        </w:rPr>
      </w:pPr>
      <w:r>
        <w:rPr>
          <w:bCs/>
          <w:sz w:val="22"/>
        </w:rPr>
        <w:t>Findings that the full IRB</w:t>
      </w:r>
      <w:r w:rsidR="002C40DB">
        <w:rPr>
          <w:bCs/>
          <w:sz w:val="22"/>
        </w:rPr>
        <w:t>-HSR board may need to review</w:t>
      </w:r>
      <w:r w:rsidR="001B4ECB">
        <w:rPr>
          <w:bCs/>
          <w:sz w:val="22"/>
        </w:rPr>
        <w:t>.</w:t>
      </w:r>
    </w:p>
    <w:p w:rsidR="00B11915" w:rsidRDefault="00B11915" w:rsidP="00B11915">
      <w:pPr>
        <w:pStyle w:val="BodyText"/>
        <w:ind w:left="360"/>
        <w:rPr>
          <w:bCs/>
          <w:sz w:val="22"/>
        </w:rPr>
      </w:pPr>
    </w:p>
    <w:p w:rsidR="00B11915" w:rsidRDefault="00B11915" w:rsidP="00B11915">
      <w:pPr>
        <w:pStyle w:val="BodyText"/>
        <w:rPr>
          <w:bCs/>
          <w:sz w:val="22"/>
        </w:rPr>
      </w:pPr>
    </w:p>
    <w:p w:rsidR="00A4487C" w:rsidRPr="002C40DB" w:rsidRDefault="006032C0" w:rsidP="00E256B9">
      <w:pPr>
        <w:pStyle w:val="BodyText"/>
        <w:numPr>
          <w:ilvl w:val="0"/>
          <w:numId w:val="16"/>
        </w:numPr>
        <w:rPr>
          <w:sz w:val="22"/>
        </w:rPr>
      </w:pPr>
      <w:r w:rsidRPr="002C40DB">
        <w:rPr>
          <w:bCs/>
          <w:sz w:val="22"/>
        </w:rPr>
        <w:t xml:space="preserve">The </w:t>
      </w:r>
      <w:r w:rsidR="002C40DB" w:rsidRPr="002C40DB">
        <w:rPr>
          <w:bCs/>
          <w:sz w:val="22"/>
        </w:rPr>
        <w:t>com</w:t>
      </w:r>
      <w:r w:rsidR="00EF3341">
        <w:rPr>
          <w:bCs/>
          <w:sz w:val="22"/>
        </w:rPr>
        <w:t>mittee will consider the rating assigned</w:t>
      </w:r>
      <w:r w:rsidR="002C40DB" w:rsidRPr="002C40DB">
        <w:rPr>
          <w:bCs/>
          <w:sz w:val="22"/>
        </w:rPr>
        <w:t xml:space="preserve"> for each study </w:t>
      </w:r>
      <w:r w:rsidR="0020682F">
        <w:rPr>
          <w:bCs/>
          <w:sz w:val="22"/>
        </w:rPr>
        <w:t xml:space="preserve">PAM report </w:t>
      </w:r>
      <w:r w:rsidR="002C40DB" w:rsidRPr="002C40DB">
        <w:rPr>
          <w:bCs/>
          <w:sz w:val="22"/>
        </w:rPr>
        <w:t>at the PAM Working Group meeting (criteria used for ratings below):</w:t>
      </w:r>
      <w:r w:rsidRPr="002C40DB">
        <w:rPr>
          <w:bCs/>
          <w:sz w:val="22"/>
        </w:rPr>
        <w:t xml:space="preserve"> </w:t>
      </w:r>
    </w:p>
    <w:p w:rsidR="00A4487C" w:rsidRDefault="00A4487C" w:rsidP="00A4487C">
      <w:pPr>
        <w:pStyle w:val="BodyText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lastRenderedPageBreak/>
        <w:t xml:space="preserve">Exceptional:   Regulatory documents </w:t>
      </w:r>
      <w:proofErr w:type="gramStart"/>
      <w:r>
        <w:rPr>
          <w:bCs/>
          <w:sz w:val="22"/>
        </w:rPr>
        <w:t>complete,</w:t>
      </w:r>
      <w:proofErr w:type="gramEnd"/>
      <w:r>
        <w:rPr>
          <w:bCs/>
          <w:sz w:val="22"/>
        </w:rPr>
        <w:t xml:space="preserve"> evidence of consistent protocol compliance and source documentation.  Evidence of research understanding and compliance</w:t>
      </w:r>
      <w:r w:rsidR="001B4ECB">
        <w:rPr>
          <w:bCs/>
          <w:sz w:val="22"/>
        </w:rPr>
        <w:t>.</w:t>
      </w:r>
    </w:p>
    <w:p w:rsidR="00A4487C" w:rsidRDefault="00A4487C" w:rsidP="00A4487C">
      <w:pPr>
        <w:pStyle w:val="BodyText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Satisfactory:   Few minor deviations noted</w:t>
      </w:r>
      <w:r w:rsidR="00627483">
        <w:rPr>
          <w:bCs/>
          <w:sz w:val="22"/>
        </w:rPr>
        <w:t xml:space="preserve"> or major deviation with evidence corrective actions are in place and overall assessment of study conduct is good.</w:t>
      </w:r>
      <w:bookmarkStart w:id="0" w:name="_GoBack"/>
      <w:bookmarkEnd w:id="0"/>
      <w:r>
        <w:rPr>
          <w:bCs/>
          <w:sz w:val="22"/>
        </w:rPr>
        <w:t xml:space="preserve">   Education </w:t>
      </w:r>
      <w:proofErr w:type="gramStart"/>
      <w:r>
        <w:rPr>
          <w:bCs/>
          <w:sz w:val="22"/>
        </w:rPr>
        <w:t>may be recommended</w:t>
      </w:r>
      <w:proofErr w:type="gramEnd"/>
      <w:r>
        <w:rPr>
          <w:bCs/>
          <w:sz w:val="22"/>
        </w:rPr>
        <w:t>.</w:t>
      </w:r>
    </w:p>
    <w:p w:rsidR="00A4487C" w:rsidRDefault="00A4487C" w:rsidP="00A4487C">
      <w:pPr>
        <w:pStyle w:val="BodyText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 xml:space="preserve">Marginal:  Needs follow-up.   At least one major deviation noted or many minor.  Education </w:t>
      </w:r>
      <w:r w:rsidR="00B64EDC">
        <w:rPr>
          <w:bCs/>
          <w:sz w:val="22"/>
        </w:rPr>
        <w:t>may be</w:t>
      </w:r>
      <w:r>
        <w:rPr>
          <w:bCs/>
          <w:sz w:val="22"/>
        </w:rPr>
        <w:t xml:space="preserve"> required.   Re-review </w:t>
      </w:r>
      <w:r w:rsidR="002C40DB">
        <w:rPr>
          <w:bCs/>
          <w:sz w:val="22"/>
        </w:rPr>
        <w:t>may occur</w:t>
      </w:r>
      <w:r>
        <w:rPr>
          <w:bCs/>
          <w:sz w:val="22"/>
        </w:rPr>
        <w:t xml:space="preserve"> in </w:t>
      </w:r>
      <w:r w:rsidR="006F177F">
        <w:rPr>
          <w:bCs/>
          <w:sz w:val="22"/>
        </w:rPr>
        <w:t>3-6 months</w:t>
      </w:r>
      <w:r w:rsidR="002C40DB">
        <w:rPr>
          <w:bCs/>
          <w:sz w:val="22"/>
        </w:rPr>
        <w:t xml:space="preserve"> or as needed</w:t>
      </w:r>
      <w:r w:rsidR="006F177F">
        <w:rPr>
          <w:bCs/>
          <w:sz w:val="22"/>
        </w:rPr>
        <w:t>.</w:t>
      </w:r>
    </w:p>
    <w:p w:rsidR="00A4487C" w:rsidRDefault="00A4487C" w:rsidP="00A4487C">
      <w:pPr>
        <w:pStyle w:val="BodyText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 xml:space="preserve">Unacceptable:  Extremely deficient review, or after education and re-review, non-compliance is still evident or the degree of subject risk is uncertain.  </w:t>
      </w:r>
    </w:p>
    <w:p w:rsidR="00A4487C" w:rsidRDefault="00A4487C" w:rsidP="00A4487C">
      <w:pPr>
        <w:pStyle w:val="BodyText"/>
        <w:ind w:left="720"/>
        <w:rPr>
          <w:bCs/>
          <w:sz w:val="22"/>
        </w:rPr>
      </w:pPr>
    </w:p>
    <w:p w:rsidR="00A4487C" w:rsidRDefault="00EF3341" w:rsidP="00A4487C">
      <w:pPr>
        <w:pStyle w:val="BodyText"/>
        <w:ind w:left="720"/>
        <w:rPr>
          <w:bCs/>
          <w:sz w:val="22"/>
        </w:rPr>
      </w:pPr>
      <w:r>
        <w:rPr>
          <w:bCs/>
          <w:sz w:val="22"/>
        </w:rPr>
        <w:t xml:space="preserve">The committee will confirm the ratings assigned by the PAM Working Group if they agree, or may change the rating </w:t>
      </w:r>
      <w:r w:rsidR="0070670F">
        <w:rPr>
          <w:bCs/>
          <w:sz w:val="22"/>
        </w:rPr>
        <w:t>if needed</w:t>
      </w:r>
      <w:r>
        <w:rPr>
          <w:bCs/>
          <w:sz w:val="22"/>
        </w:rPr>
        <w:t xml:space="preserve">. The IRB PAM Advisory Committee will make the final determination of a study </w:t>
      </w:r>
      <w:r w:rsidR="0020682F">
        <w:rPr>
          <w:bCs/>
          <w:sz w:val="22"/>
        </w:rPr>
        <w:t xml:space="preserve">PAM report </w:t>
      </w:r>
      <w:r>
        <w:rPr>
          <w:bCs/>
          <w:sz w:val="22"/>
        </w:rPr>
        <w:t>rating</w:t>
      </w:r>
      <w:r w:rsidR="00A4487C">
        <w:rPr>
          <w:bCs/>
          <w:sz w:val="22"/>
        </w:rPr>
        <w:t>.</w:t>
      </w:r>
    </w:p>
    <w:p w:rsidR="00A4487C" w:rsidRDefault="00A4487C" w:rsidP="00A4487C">
      <w:pPr>
        <w:pStyle w:val="BodyText"/>
        <w:ind w:left="720"/>
        <w:rPr>
          <w:bCs/>
          <w:sz w:val="22"/>
        </w:rPr>
      </w:pPr>
    </w:p>
    <w:p w:rsidR="00A4487C" w:rsidRPr="00A4487C" w:rsidRDefault="00A4487C" w:rsidP="00A4487C">
      <w:pPr>
        <w:pStyle w:val="BodyText"/>
        <w:ind w:left="720"/>
        <w:rPr>
          <w:bCs/>
          <w:sz w:val="22"/>
        </w:rPr>
      </w:pPr>
    </w:p>
    <w:p w:rsidR="00A4487C" w:rsidRDefault="00A4487C" w:rsidP="00A4487C">
      <w:pPr>
        <w:pStyle w:val="BodyText"/>
        <w:rPr>
          <w:sz w:val="22"/>
        </w:rPr>
      </w:pPr>
    </w:p>
    <w:p w:rsidR="00A4487C" w:rsidRDefault="00A4487C" w:rsidP="00A4487C">
      <w:pPr>
        <w:pStyle w:val="BodyText"/>
        <w:ind w:left="720"/>
        <w:rPr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                                                </w:t>
      </w:r>
    </w:p>
    <w:p w:rsidR="00654A8E" w:rsidRDefault="00654A8E">
      <w:pPr>
        <w:pStyle w:val="BodyText"/>
        <w:rPr>
          <w:b/>
          <w:sz w:val="22"/>
        </w:rPr>
      </w:pPr>
    </w:p>
    <w:p w:rsidR="00654A8E" w:rsidRDefault="00654A8E">
      <w:pPr>
        <w:pStyle w:val="BodyText"/>
        <w:ind w:firstLine="720"/>
        <w:rPr>
          <w:sz w:val="22"/>
        </w:rPr>
      </w:pPr>
    </w:p>
    <w:p w:rsidR="00654A8E" w:rsidRDefault="00654A8E">
      <w:pPr>
        <w:pStyle w:val="BodyText"/>
        <w:rPr>
          <w:b/>
          <w:sz w:val="22"/>
        </w:rPr>
      </w:pPr>
    </w:p>
    <w:p w:rsidR="00654A8E" w:rsidRDefault="00654A8E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REFERENCES:</w:t>
      </w:r>
      <w:r w:rsidR="00F44E4E">
        <w:rPr>
          <w:b/>
          <w:sz w:val="22"/>
          <w:szCs w:val="22"/>
        </w:rPr>
        <w:t xml:space="preserve">  </w:t>
      </w:r>
      <w:r w:rsidR="00EF3341">
        <w:rPr>
          <w:b/>
          <w:sz w:val="22"/>
          <w:szCs w:val="22"/>
        </w:rPr>
        <w:t>1-8 Function of the PAM Working Group</w:t>
      </w:r>
    </w:p>
    <w:sectPr w:rsidR="00654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1296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CB" w:rsidRDefault="004D34CB">
      <w:r>
        <w:separator/>
      </w:r>
    </w:p>
  </w:endnote>
  <w:endnote w:type="continuationSeparator" w:id="0">
    <w:p w:rsidR="004D34CB" w:rsidRDefault="004D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E7" w:rsidRDefault="00DE4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43E7" w:rsidRDefault="00DE4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61" w:rsidRDefault="00A41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61" w:rsidRDefault="00A41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CB" w:rsidRDefault="004D34CB">
      <w:r>
        <w:separator/>
      </w:r>
    </w:p>
  </w:footnote>
  <w:footnote w:type="continuationSeparator" w:id="0">
    <w:p w:rsidR="004D34CB" w:rsidRDefault="004D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61" w:rsidRDefault="00A41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E7" w:rsidRDefault="00DE43E7">
    <w:pPr>
      <w:pStyle w:val="Header"/>
    </w:pPr>
  </w:p>
  <w:p w:rsidR="00DE43E7" w:rsidRDefault="00DE4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721"/>
      <w:gridCol w:w="2489"/>
      <w:gridCol w:w="1600"/>
      <w:gridCol w:w="3022"/>
    </w:tblGrid>
    <w:tr w:rsidR="00DE43E7">
      <w:trPr>
        <w:cantSplit/>
        <w:trHeight w:val="300"/>
      </w:trPr>
      <w:tc>
        <w:tcPr>
          <w:tcW w:w="8832" w:type="dxa"/>
          <w:gridSpan w:val="4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rPr>
              <w:b/>
            </w:rPr>
          </w:pPr>
          <w:r>
            <w:rPr>
              <w:b/>
            </w:rPr>
            <w:t xml:space="preserve">Department:  </w:t>
          </w:r>
          <w:r>
            <w:rPr>
              <w:b/>
              <w:sz w:val="22"/>
            </w:rPr>
            <w:t>Post Approval Monitoring</w:t>
          </w:r>
          <w:r w:rsidR="00F60634">
            <w:rPr>
              <w:b/>
              <w:sz w:val="22"/>
            </w:rPr>
            <w:t xml:space="preserve"> and Education</w:t>
          </w:r>
        </w:p>
      </w:tc>
    </w:tr>
    <w:tr w:rsidR="00DE43E7">
      <w:trPr>
        <w:cantSplit/>
        <w:trHeight w:val="300"/>
      </w:trPr>
      <w:tc>
        <w:tcPr>
          <w:tcW w:w="172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</w:tcPr>
        <w:p w:rsidR="00DE43E7" w:rsidRDefault="002F1191" w:rsidP="008702CF">
          <w:pPr>
            <w:pStyle w:val="Enumeration"/>
            <w:tabs>
              <w:tab w:val="clear" w:pos="720"/>
              <w:tab w:val="left" w:pos="0"/>
            </w:tabs>
            <w:ind w:left="0" w:firstLine="0"/>
            <w:rPr>
              <w:b/>
            </w:rPr>
          </w:pPr>
          <w:r>
            <w:rPr>
              <w:b/>
            </w:rPr>
            <w:t>AG</w:t>
          </w:r>
          <w:r w:rsidR="00DE43E7">
            <w:rPr>
              <w:b/>
            </w:rPr>
            <w:t xml:space="preserve"> # 1-</w:t>
          </w:r>
          <w:r w:rsidR="003D5697">
            <w:rPr>
              <w:b/>
            </w:rPr>
            <w:t>10</w:t>
          </w:r>
        </w:p>
        <w:p w:rsidR="00DE43E7" w:rsidRDefault="003D5697" w:rsidP="003D5697">
          <w:pPr>
            <w:pStyle w:val="Enumeration"/>
            <w:tabs>
              <w:tab w:val="clear" w:pos="720"/>
              <w:tab w:val="left" w:pos="0"/>
            </w:tabs>
            <w:ind w:left="0" w:firstLine="0"/>
          </w:pPr>
          <w:r>
            <w:rPr>
              <w:b/>
            </w:rPr>
            <w:t>1</w:t>
          </w:r>
          <w:r w:rsidRPr="00E256B9">
            <w:rPr>
              <w:b/>
              <w:vertAlign w:val="superscript"/>
            </w:rPr>
            <w:t>st</w:t>
          </w:r>
          <w:r>
            <w:rPr>
              <w:b/>
            </w:rPr>
            <w:t xml:space="preserve"> version</w:t>
          </w:r>
        </w:p>
      </w:tc>
      <w:tc>
        <w:tcPr>
          <w:tcW w:w="4089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3D5697">
          <w:pPr>
            <w:pStyle w:val="Enumeration"/>
            <w:rPr>
              <w:b/>
            </w:rPr>
          </w:pPr>
          <w:r>
            <w:rPr>
              <w:b/>
            </w:rPr>
            <w:t xml:space="preserve">TITLE:  </w:t>
          </w:r>
          <w:r>
            <w:rPr>
              <w:b/>
              <w:sz w:val="22"/>
            </w:rPr>
            <w:t xml:space="preserve">Function of the </w:t>
          </w:r>
          <w:r w:rsidR="003D5697">
            <w:rPr>
              <w:b/>
              <w:sz w:val="22"/>
            </w:rPr>
            <w:t>IRB PAM Advisory Committee</w:t>
          </w:r>
        </w:p>
      </w:tc>
      <w:tc>
        <w:tcPr>
          <w:tcW w:w="3022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</w:tcPr>
        <w:p w:rsidR="00DE43E7" w:rsidRDefault="00DE43E7" w:rsidP="008702CF">
          <w:pPr>
            <w:pStyle w:val="Enumeration"/>
          </w:pPr>
          <w:r>
            <w:rPr>
              <w:b/>
            </w:rPr>
            <w:t xml:space="preserve">Page: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MERGEFORMAT </w:instrText>
          </w:r>
          <w:r>
            <w:rPr>
              <w:b/>
            </w:rPr>
            <w:fldChar w:fldCharType="separate"/>
          </w:r>
          <w:r w:rsidR="0022565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MERGEFORMAT </w:instrText>
          </w:r>
          <w:r>
            <w:rPr>
              <w:b/>
            </w:rPr>
            <w:fldChar w:fldCharType="separate"/>
          </w:r>
          <w:r w:rsidR="0022565C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  <w:tr w:rsidR="00DE43E7">
      <w:trPr>
        <w:cantSplit/>
        <w:trHeight w:val="300"/>
      </w:trPr>
      <w:tc>
        <w:tcPr>
          <w:tcW w:w="172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</w:tabs>
            <w:ind w:left="0" w:firstLine="0"/>
          </w:pPr>
          <w:r>
            <w:t>Approved By:</w:t>
          </w:r>
          <w:r>
            <w:br/>
          </w:r>
          <w:r w:rsidR="001D6046">
            <w:t xml:space="preserve">Senior </w:t>
          </w:r>
          <w:r>
            <w:t xml:space="preserve">Associate VP for Research </w:t>
          </w:r>
        </w:p>
      </w:tc>
      <w:tc>
        <w:tcPr>
          <w:tcW w:w="248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9C45B9" w:rsidP="008702CF">
          <w:pPr>
            <w:pStyle w:val="Enumeration"/>
            <w:tabs>
              <w:tab w:val="clear" w:pos="720"/>
              <w:tab w:val="left" w:pos="-18"/>
            </w:tabs>
            <w:ind w:left="0" w:firstLine="0"/>
            <w:rPr>
              <w:b/>
            </w:rPr>
          </w:pPr>
          <w:r>
            <w:t>David J. Hudson</w:t>
          </w:r>
        </w:p>
      </w:tc>
      <w:tc>
        <w:tcPr>
          <w:tcW w:w="160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  <w:tab w:val="left" w:pos="0"/>
            </w:tabs>
          </w:pPr>
          <w:r>
            <w:t>Date</w:t>
          </w:r>
        </w:p>
        <w:p w:rsidR="00C23876" w:rsidRDefault="003D5697" w:rsidP="008702CF">
          <w:pPr>
            <w:pStyle w:val="Enumeration"/>
            <w:tabs>
              <w:tab w:val="clear" w:pos="720"/>
              <w:tab w:val="left" w:pos="0"/>
            </w:tabs>
            <w:rPr>
              <w:b/>
            </w:rPr>
          </w:pPr>
          <w:r>
            <w:t>4/18/22</w:t>
          </w:r>
        </w:p>
      </w:tc>
      <w:tc>
        <w:tcPr>
          <w:tcW w:w="3022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</w:tcPr>
        <w:p w:rsidR="00DE43E7" w:rsidRDefault="00DE43E7" w:rsidP="003D5697">
          <w:pPr>
            <w:pStyle w:val="Enumeration"/>
            <w:tabs>
              <w:tab w:val="clear" w:pos="720"/>
              <w:tab w:val="left" w:pos="0"/>
            </w:tabs>
            <w:ind w:left="0" w:firstLine="0"/>
          </w:pPr>
          <w:r>
            <w:t>Date First Effective:</w:t>
          </w:r>
          <w:r>
            <w:br/>
          </w:r>
          <w:r w:rsidR="003D5697">
            <w:t>4/18/22</w:t>
          </w:r>
        </w:p>
      </w:tc>
    </w:tr>
    <w:tr w:rsidR="00DE43E7">
      <w:trPr>
        <w:cantSplit/>
        <w:trHeight w:val="300"/>
      </w:trPr>
      <w:tc>
        <w:tcPr>
          <w:tcW w:w="1721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</w:tabs>
            <w:ind w:left="0" w:firstLine="0"/>
          </w:pPr>
          <w:r>
            <w:t>Approved By:</w:t>
          </w:r>
          <w:r>
            <w:br/>
            <w:t>Research Compliance Monitor</w:t>
          </w:r>
        </w:p>
      </w:tc>
      <w:tc>
        <w:tcPr>
          <w:tcW w:w="24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F60634" w:rsidP="008702CF">
          <w:pPr>
            <w:pStyle w:val="Enumeration"/>
            <w:tabs>
              <w:tab w:val="clear" w:pos="720"/>
              <w:tab w:val="left" w:pos="-18"/>
            </w:tabs>
            <w:ind w:left="0" w:firstLine="0"/>
          </w:pPr>
          <w:r>
            <w:t>Jane Lehmbeck</w:t>
          </w:r>
        </w:p>
      </w:tc>
      <w:tc>
        <w:tcPr>
          <w:tcW w:w="1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  <w:tab w:val="left" w:pos="0"/>
            </w:tabs>
          </w:pPr>
          <w:r>
            <w:t>Date</w:t>
          </w:r>
        </w:p>
        <w:p w:rsidR="00C23876" w:rsidRDefault="003D5697" w:rsidP="008702CF">
          <w:pPr>
            <w:pStyle w:val="Enumeration"/>
            <w:tabs>
              <w:tab w:val="clear" w:pos="720"/>
              <w:tab w:val="left" w:pos="0"/>
            </w:tabs>
          </w:pPr>
          <w:r>
            <w:t>4/18/22</w:t>
          </w:r>
        </w:p>
      </w:tc>
      <w:tc>
        <w:tcPr>
          <w:tcW w:w="302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  <w:tab w:val="left" w:pos="0"/>
            </w:tabs>
            <w:ind w:left="0" w:firstLine="0"/>
          </w:pPr>
        </w:p>
      </w:tc>
    </w:tr>
    <w:tr w:rsidR="00DE43E7">
      <w:trPr>
        <w:cantSplit/>
        <w:trHeight w:val="300"/>
      </w:trPr>
      <w:tc>
        <w:tcPr>
          <w:tcW w:w="1721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</w:tabs>
            <w:ind w:left="0" w:firstLine="0"/>
          </w:pPr>
          <w:r>
            <w:t>Approved By Research Compliance Monitor</w:t>
          </w:r>
        </w:p>
      </w:tc>
      <w:tc>
        <w:tcPr>
          <w:tcW w:w="24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F60634" w:rsidP="008702CF">
          <w:pPr>
            <w:pStyle w:val="Enumeration"/>
            <w:tabs>
              <w:tab w:val="clear" w:pos="720"/>
              <w:tab w:val="left" w:pos="-18"/>
            </w:tabs>
            <w:ind w:left="0" w:firstLine="0"/>
          </w:pPr>
          <w:r>
            <w:t>Elaine Dube</w:t>
          </w:r>
        </w:p>
      </w:tc>
      <w:tc>
        <w:tcPr>
          <w:tcW w:w="1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43E7" w:rsidRDefault="00DE43E7" w:rsidP="008702CF">
          <w:pPr>
            <w:pStyle w:val="Enumeration"/>
            <w:tabs>
              <w:tab w:val="clear" w:pos="720"/>
              <w:tab w:val="left" w:pos="0"/>
            </w:tabs>
          </w:pPr>
          <w:r>
            <w:t>Date</w:t>
          </w:r>
        </w:p>
        <w:p w:rsidR="00C23876" w:rsidRDefault="003D5697" w:rsidP="008702CF">
          <w:pPr>
            <w:pStyle w:val="Enumeration"/>
            <w:tabs>
              <w:tab w:val="clear" w:pos="720"/>
              <w:tab w:val="left" w:pos="0"/>
            </w:tabs>
          </w:pPr>
          <w:r>
            <w:t>4/18/22</w:t>
          </w:r>
        </w:p>
      </w:tc>
      <w:tc>
        <w:tcPr>
          <w:tcW w:w="302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60634" w:rsidRDefault="00DE43E7" w:rsidP="003D5697">
          <w:pPr>
            <w:pStyle w:val="Enumeration"/>
            <w:tabs>
              <w:tab w:val="clear" w:pos="720"/>
              <w:tab w:val="left" w:pos="0"/>
            </w:tabs>
            <w:ind w:left="0" w:firstLine="0"/>
          </w:pPr>
          <w:r>
            <w:t xml:space="preserve">Revision Date: </w:t>
          </w:r>
          <w:r>
            <w:br/>
          </w:r>
        </w:p>
      </w:tc>
    </w:tr>
  </w:tbl>
  <w:p w:rsidR="00DE43E7" w:rsidRDefault="00DE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CC6"/>
    <w:multiLevelType w:val="hybridMultilevel"/>
    <w:tmpl w:val="3DCAFD30"/>
    <w:lvl w:ilvl="0" w:tplc="5770D3F0">
      <w:start w:val="8"/>
      <w:numFmt w:val="lowerLetter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94566A"/>
    <w:multiLevelType w:val="hybridMultilevel"/>
    <w:tmpl w:val="E270A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B2E"/>
    <w:multiLevelType w:val="singleLevel"/>
    <w:tmpl w:val="8542C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0FBA0395"/>
    <w:multiLevelType w:val="hybridMultilevel"/>
    <w:tmpl w:val="30F812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42CF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456D3E"/>
    <w:multiLevelType w:val="hybridMultilevel"/>
    <w:tmpl w:val="472826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93261"/>
    <w:multiLevelType w:val="singleLevel"/>
    <w:tmpl w:val="F314F1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8E7343"/>
    <w:multiLevelType w:val="hybridMultilevel"/>
    <w:tmpl w:val="2E0A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A3"/>
    <w:multiLevelType w:val="hybridMultilevel"/>
    <w:tmpl w:val="E5E87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22CBD"/>
    <w:multiLevelType w:val="hybridMultilevel"/>
    <w:tmpl w:val="4B3A4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2C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4B1D50C1"/>
    <w:multiLevelType w:val="hybridMultilevel"/>
    <w:tmpl w:val="C6F8C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5139F0"/>
    <w:multiLevelType w:val="hybridMultilevel"/>
    <w:tmpl w:val="E6C247E2"/>
    <w:lvl w:ilvl="0" w:tplc="8542CF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5411FD"/>
    <w:multiLevelType w:val="hybridMultilevel"/>
    <w:tmpl w:val="62D88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464F08"/>
    <w:multiLevelType w:val="hybridMultilevel"/>
    <w:tmpl w:val="63F4F3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FC25C59"/>
    <w:multiLevelType w:val="hybridMultilevel"/>
    <w:tmpl w:val="F4948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72409"/>
    <w:multiLevelType w:val="hybridMultilevel"/>
    <w:tmpl w:val="4E86E4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590DAA"/>
    <w:multiLevelType w:val="hybridMultilevel"/>
    <w:tmpl w:val="C3A404D6"/>
    <w:lvl w:ilvl="0" w:tplc="5770D3F0">
      <w:start w:val="8"/>
      <w:numFmt w:val="lowerLetter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44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AA4355"/>
    <w:multiLevelType w:val="hybridMultilevel"/>
    <w:tmpl w:val="B0541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15"/>
  </w:num>
  <w:num w:numId="11">
    <w:abstractNumId w:val="0"/>
  </w:num>
  <w:num w:numId="12">
    <w:abstractNumId w:val="6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8E"/>
    <w:rsid w:val="0003401F"/>
    <w:rsid w:val="00067FA0"/>
    <w:rsid w:val="00076C55"/>
    <w:rsid w:val="00094E24"/>
    <w:rsid w:val="00164DFC"/>
    <w:rsid w:val="001A3781"/>
    <w:rsid w:val="001B4ECB"/>
    <w:rsid w:val="001C5923"/>
    <w:rsid w:val="001D6046"/>
    <w:rsid w:val="001F55CF"/>
    <w:rsid w:val="0020682F"/>
    <w:rsid w:val="0022565C"/>
    <w:rsid w:val="00252A96"/>
    <w:rsid w:val="00280376"/>
    <w:rsid w:val="002C40DB"/>
    <w:rsid w:val="002C64EB"/>
    <w:rsid w:val="002F1191"/>
    <w:rsid w:val="002F656D"/>
    <w:rsid w:val="00360FD7"/>
    <w:rsid w:val="003833A1"/>
    <w:rsid w:val="003871BF"/>
    <w:rsid w:val="003A2840"/>
    <w:rsid w:val="003B742E"/>
    <w:rsid w:val="003D5697"/>
    <w:rsid w:val="004D34CB"/>
    <w:rsid w:val="004F4AAE"/>
    <w:rsid w:val="004F523D"/>
    <w:rsid w:val="00515F4B"/>
    <w:rsid w:val="005436C7"/>
    <w:rsid w:val="00561661"/>
    <w:rsid w:val="005852CB"/>
    <w:rsid w:val="005E0407"/>
    <w:rsid w:val="006032C0"/>
    <w:rsid w:val="00627483"/>
    <w:rsid w:val="00644EEA"/>
    <w:rsid w:val="00654635"/>
    <w:rsid w:val="00654A8E"/>
    <w:rsid w:val="00664355"/>
    <w:rsid w:val="00696D00"/>
    <w:rsid w:val="006A4E23"/>
    <w:rsid w:val="006A72E4"/>
    <w:rsid w:val="006F177F"/>
    <w:rsid w:val="00701965"/>
    <w:rsid w:val="0070670F"/>
    <w:rsid w:val="007505AD"/>
    <w:rsid w:val="007748C8"/>
    <w:rsid w:val="007A5117"/>
    <w:rsid w:val="007B185F"/>
    <w:rsid w:val="007D0602"/>
    <w:rsid w:val="008702CF"/>
    <w:rsid w:val="008D0927"/>
    <w:rsid w:val="00986369"/>
    <w:rsid w:val="009C45B9"/>
    <w:rsid w:val="009F45E5"/>
    <w:rsid w:val="009F6D33"/>
    <w:rsid w:val="00A10696"/>
    <w:rsid w:val="00A41961"/>
    <w:rsid w:val="00A4487C"/>
    <w:rsid w:val="00A8687E"/>
    <w:rsid w:val="00A95333"/>
    <w:rsid w:val="00AA1862"/>
    <w:rsid w:val="00AB307F"/>
    <w:rsid w:val="00AD50E0"/>
    <w:rsid w:val="00B11915"/>
    <w:rsid w:val="00B166C3"/>
    <w:rsid w:val="00B61D97"/>
    <w:rsid w:val="00B64EDC"/>
    <w:rsid w:val="00B7055C"/>
    <w:rsid w:val="00B92D40"/>
    <w:rsid w:val="00B95CB4"/>
    <w:rsid w:val="00BD74E4"/>
    <w:rsid w:val="00C06FBC"/>
    <w:rsid w:val="00C10177"/>
    <w:rsid w:val="00C23876"/>
    <w:rsid w:val="00C33A0B"/>
    <w:rsid w:val="00C34790"/>
    <w:rsid w:val="00C64133"/>
    <w:rsid w:val="00CC5703"/>
    <w:rsid w:val="00CE5B15"/>
    <w:rsid w:val="00D110EC"/>
    <w:rsid w:val="00D56FC7"/>
    <w:rsid w:val="00D61FAF"/>
    <w:rsid w:val="00D94C5B"/>
    <w:rsid w:val="00DE43E7"/>
    <w:rsid w:val="00E069F8"/>
    <w:rsid w:val="00E256B9"/>
    <w:rsid w:val="00E46392"/>
    <w:rsid w:val="00E63EF8"/>
    <w:rsid w:val="00EC6FFD"/>
    <w:rsid w:val="00EC79D6"/>
    <w:rsid w:val="00EC7B3A"/>
    <w:rsid w:val="00EE5443"/>
    <w:rsid w:val="00EF3341"/>
    <w:rsid w:val="00F44E4E"/>
    <w:rsid w:val="00F46665"/>
    <w:rsid w:val="00F57D16"/>
    <w:rsid w:val="00F60634"/>
    <w:rsid w:val="00F722B1"/>
    <w:rsid w:val="00F851C2"/>
    <w:rsid w:val="00FB3C6D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3C7A51D"/>
  <w15:chartTrackingRefBased/>
  <w15:docId w15:val="{E50EE5E6-2826-4891-B463-8EE6723D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numeration">
    <w:name w:val="Enumeration"/>
    <w:basedOn w:val="Normal"/>
    <w:rsid w:val="005436C7"/>
    <w:pPr>
      <w:tabs>
        <w:tab w:val="left" w:pos="720"/>
      </w:tabs>
      <w:ind w:left="720" w:hanging="720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D56F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OPs\S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95E6-482C-4AC9-9BA0-8C318C0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</Template>
  <TotalTime>0</TotalTime>
  <Pages>2</Pages>
  <Words>367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guest2</dc:creator>
  <cp:keywords/>
  <cp:lastModifiedBy>Lehmbeck, Jane F (jff7c)</cp:lastModifiedBy>
  <cp:revision>2</cp:revision>
  <cp:lastPrinted>2015-07-01T18:31:00Z</cp:lastPrinted>
  <dcterms:created xsi:type="dcterms:W3CDTF">2022-04-25T18:02:00Z</dcterms:created>
  <dcterms:modified xsi:type="dcterms:W3CDTF">2022-04-25T18:02:00Z</dcterms:modified>
</cp:coreProperties>
</file>